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103480" w14:textId="13CD4B37" w:rsidR="00583130" w:rsidRPr="000C62A9" w:rsidRDefault="00A94F7C">
      <w:pPr>
        <w:keepNext/>
        <w:keepLines/>
        <w:autoSpaceDE w:val="0"/>
        <w:spacing w:after="480" w:line="264" w:lineRule="auto"/>
        <w:ind w:right="51"/>
        <w:jc w:val="center"/>
        <w:rPr>
          <w:rFonts w:cs="Calibri"/>
          <w:b/>
          <w:bCs/>
          <w:kern w:val="0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>OBJAŚNIENIA PRZYJĘTYCH WARTOŚCI W WIELOLETNIEJ PROGNOZIE FINANSOWEJ GMINY RAKONIEWICE NA LATA 202</w:t>
      </w:r>
      <w:r w:rsidR="008132B3">
        <w:rPr>
          <w:rFonts w:cs="Calibri"/>
          <w:b/>
          <w:bCs/>
          <w:kern w:val="0"/>
          <w:sz w:val="20"/>
          <w:szCs w:val="20"/>
        </w:rPr>
        <w:t>6</w:t>
      </w:r>
      <w:r w:rsidRPr="000C62A9">
        <w:rPr>
          <w:rFonts w:cs="Calibri"/>
          <w:b/>
          <w:bCs/>
          <w:kern w:val="0"/>
          <w:sz w:val="20"/>
          <w:szCs w:val="20"/>
        </w:rPr>
        <w:t>-20</w:t>
      </w:r>
      <w:r w:rsidR="00F570FA">
        <w:rPr>
          <w:rFonts w:cs="Calibri"/>
          <w:b/>
          <w:bCs/>
          <w:kern w:val="0"/>
          <w:sz w:val="20"/>
          <w:szCs w:val="20"/>
        </w:rPr>
        <w:t>29</w:t>
      </w:r>
    </w:p>
    <w:p w14:paraId="72C44934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Wieloletnia Prognoza Finansowa (WPF) Gminy Rakoniewice stanowi podstawowy dokument planistyczny o strategicznym znaczeniu dla zarządzania finansami publicznymi w perspektywie wieloletniej. Jest narzędziem umożliwiającym ocenę sytuacji finansowej Gminy, analizę jej potencjału dochodowego i wydatkowego oraz identyfikację konsekwencji finansowych podejmowanych decyzji inwestycyjnych i bieżących. WPF określa kierunki działań finansowych przyjętych przez organy Gminy, stanowiąc podstawę do zapewnienia stabilności budżetowej oraz utrzymania równowagi finansowej w kolejnych latach.</w:t>
      </w:r>
    </w:p>
    <w:p w14:paraId="6F394A65" w14:textId="0866846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 xml:space="preserve">Od dnia 1 stycznia 2025 roku obowiązują przepisy ustawy z dnia 1 października 2024 r. o dochodach jednostek samorządu terytorialnego (Dz. U. z 2024 r. poz. 1572), które w sposób zasadniczy zmieniły system naliczania dochodów z tytułu udziałów w podatku dochodowym od osób fizycznych (PIT) i prawnych (CIT). W nowym modelu dochody te stanowią określony procent </w:t>
      </w:r>
      <w:r w:rsidRPr="008132B3">
        <w:rPr>
          <w:rFonts w:cs="Calibri"/>
          <w:b/>
          <w:bCs/>
          <w:kern w:val="0"/>
          <w:sz w:val="20"/>
          <w:szCs w:val="20"/>
        </w:rPr>
        <w:t>dochodu podatników</w:t>
      </w:r>
      <w:r w:rsidRPr="008132B3">
        <w:rPr>
          <w:rFonts w:cs="Calibri"/>
          <w:kern w:val="0"/>
          <w:sz w:val="20"/>
          <w:szCs w:val="20"/>
        </w:rPr>
        <w:t xml:space="preserve"> zamieszkałych lub mających siedzibę na obszarze danej jednostki samorządu terytorialnego, a nie – jak w poprzednim systemie – procent należnego podatku. Zmiana ta pozwala powiązać sytuację finansową </w:t>
      </w:r>
      <w:r>
        <w:rPr>
          <w:rFonts w:cs="Calibri"/>
          <w:kern w:val="0"/>
          <w:sz w:val="20"/>
          <w:szCs w:val="20"/>
        </w:rPr>
        <w:t>G</w:t>
      </w:r>
      <w:r w:rsidRPr="008132B3">
        <w:rPr>
          <w:rFonts w:cs="Calibri"/>
          <w:kern w:val="0"/>
          <w:sz w:val="20"/>
          <w:szCs w:val="20"/>
        </w:rPr>
        <w:t>miny bezpośrednio z aktywnością gospodarczą jej mieszkańców i podmiotów gospodarczych, co zwiększa przewidywalność dochodów oraz stabilizuje finanse publiczne w dłuższym okresie.</w:t>
      </w:r>
    </w:p>
    <w:p w14:paraId="03E8044C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 xml:space="preserve">Jednocześnie, w miejsce dotychczasowych części subwencji ogólnej, wprowadzony został nowy mechanizm naliczania tzw. </w:t>
      </w:r>
      <w:r w:rsidRPr="008132B3">
        <w:rPr>
          <w:rFonts w:cs="Calibri"/>
          <w:b/>
          <w:bCs/>
          <w:kern w:val="0"/>
          <w:sz w:val="20"/>
          <w:szCs w:val="20"/>
        </w:rPr>
        <w:t>potrzeb finansowych</w:t>
      </w:r>
      <w:r w:rsidRPr="008132B3">
        <w:rPr>
          <w:rFonts w:cs="Calibri"/>
          <w:kern w:val="0"/>
          <w:sz w:val="20"/>
          <w:szCs w:val="20"/>
        </w:rPr>
        <w:t xml:space="preserve"> jednostek samorządu terytorialnego. Obejmuje on: potrzeby wyrównawcze, oświatowe, rozwojowe, ekologiczne oraz uzupełniające. Jeśli dochody z udziału w PIT i CIT danej jednostki okażą się niewystarczające do pokrycia tych potrzeb, różnica zostaje uzupełniona z budżetu państwa w formie </w:t>
      </w:r>
      <w:r w:rsidRPr="008132B3">
        <w:rPr>
          <w:rFonts w:cs="Calibri"/>
          <w:b/>
          <w:bCs/>
          <w:kern w:val="0"/>
          <w:sz w:val="20"/>
          <w:szCs w:val="20"/>
        </w:rPr>
        <w:t>subwencji ogólnej</w:t>
      </w:r>
      <w:r w:rsidRPr="008132B3">
        <w:rPr>
          <w:rFonts w:cs="Calibri"/>
          <w:kern w:val="0"/>
          <w:sz w:val="20"/>
          <w:szCs w:val="20"/>
        </w:rPr>
        <w:t>. Dzięki temu system dochodów JST nabrał charakteru dochodowego, zapewniając bardziej adekwatne odzwierciedlenie faktycznych potrzeb finansowych jednostek.</w:t>
      </w:r>
    </w:p>
    <w:p w14:paraId="76F997F8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Wprowadzenie nowych zasad finansowania samorządów ma na celu zwiększenie stabilności systemu dochodów własnych JST oraz poprawę ich zdolności do planowania w ujęciu wieloletnim. Dane przekazywane przez Ministerstwo Finansów dotyczące dochodów z PIT i CIT stanowią obecnie podstawowe źródło informacji wykorzystywane do opracowania Wieloletnich Prognoz Finansowych dla wszystkich jednostek samorządu terytorialnego.</w:t>
      </w:r>
    </w:p>
    <w:p w14:paraId="6048066B" w14:textId="6E2CBF7E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Wieloletnia Prognoza Finansowa Gminy Rakoniewice na lata 2026–20</w:t>
      </w:r>
      <w:r w:rsidR="00FC1434">
        <w:rPr>
          <w:rFonts w:cs="Calibri"/>
          <w:kern w:val="0"/>
          <w:sz w:val="20"/>
          <w:szCs w:val="20"/>
        </w:rPr>
        <w:t>29</w:t>
      </w:r>
      <w:r w:rsidRPr="008132B3">
        <w:rPr>
          <w:rFonts w:cs="Calibri"/>
          <w:kern w:val="0"/>
          <w:sz w:val="20"/>
          <w:szCs w:val="20"/>
        </w:rPr>
        <w:t xml:space="preserve"> została sporządzona w oparciu o dane sprawozdawcze z wykonania budżetów za lata 2023–2024, dane planistyczne na koniec III kwartału 2025 r., planowane wykonanie budżetu roku 2025 oraz projekt budżetu na rok 2026. Zakres czasowy prognozy wynika z art. 227 ustawy o finansach publicznych, zgodnie z którym WPF obejmuje rok budżetowy oraz co najmniej trzy kolejne lata budżetowe.</w:t>
      </w:r>
    </w:p>
    <w:p w14:paraId="1A50A4AD" w14:textId="277D6387" w:rsidR="00E175F6" w:rsidRPr="00E175F6" w:rsidRDefault="008132B3" w:rsidP="00E175F6">
      <w:pPr>
        <w:spacing w:after="0"/>
        <w:ind w:firstLine="720"/>
        <w:jc w:val="both"/>
        <w:rPr>
          <w:b/>
          <w:bCs/>
          <w:i/>
          <w:iCs/>
          <w:sz w:val="20"/>
          <w:szCs w:val="20"/>
        </w:rPr>
      </w:pPr>
      <w:r w:rsidRPr="00E175F6">
        <w:rPr>
          <w:rFonts w:cs="Calibri"/>
          <w:b/>
          <w:bCs/>
          <w:kern w:val="0"/>
          <w:sz w:val="20"/>
          <w:szCs w:val="20"/>
          <w:u w:val="single"/>
        </w:rPr>
        <w:t>W roku 2025 Gmina Rakoniewice nie posiada zadłużenia.</w:t>
      </w:r>
      <w:bookmarkStart w:id="0" w:name="_Hlk213245791"/>
      <w:r w:rsidR="00E175F6" w:rsidRPr="00E175F6">
        <w:rPr>
          <w:b/>
          <w:bCs/>
          <w:i/>
          <w:iCs/>
          <w:sz w:val="20"/>
          <w:szCs w:val="20"/>
        </w:rPr>
        <w:t xml:space="preserve"> </w:t>
      </w:r>
      <w:r w:rsidR="00E175F6" w:rsidRPr="00FC1434">
        <w:rPr>
          <w:b/>
          <w:bCs/>
          <w:i/>
          <w:iCs/>
          <w:sz w:val="20"/>
          <w:szCs w:val="20"/>
        </w:rPr>
        <w:t>W budżecie Gminy Rakoniewice na rok 2025 zaplanowano pożyczkę długoterminową na sfinansowanie planowanego deficytu budżetu Gminy Rakoniewice w roku 2025 w wysokości 8.000.000</w:t>
      </w:r>
      <w:r w:rsidR="00F570FA" w:rsidRPr="00FC1434">
        <w:rPr>
          <w:b/>
          <w:bCs/>
          <w:i/>
          <w:iCs/>
          <w:sz w:val="20"/>
          <w:szCs w:val="20"/>
        </w:rPr>
        <w:t>,00</w:t>
      </w:r>
      <w:r w:rsidR="00E175F6" w:rsidRPr="00FC1434">
        <w:rPr>
          <w:b/>
          <w:bCs/>
          <w:i/>
          <w:iCs/>
          <w:sz w:val="20"/>
          <w:szCs w:val="20"/>
        </w:rPr>
        <w:t xml:space="preserve"> zł. Dnia 29.10.2025 r. Gmina otrzymała na rachunek bankowy dofinansowanie z Ministerstwa Sportu w wysokości 8.080.400 zł, którego znaczna część (7.080.400 zł) planowana była do uzyskania w roku 2026. Ponadto na zadaniu majątkowym zrealizowanym w 2025 roku pn. „Rozbudowa kompleksu </w:t>
      </w:r>
      <w:proofErr w:type="spellStart"/>
      <w:r w:rsidR="00E175F6" w:rsidRPr="00FC1434">
        <w:rPr>
          <w:b/>
          <w:bCs/>
          <w:i/>
          <w:iCs/>
          <w:sz w:val="20"/>
          <w:szCs w:val="20"/>
        </w:rPr>
        <w:t>edukacyjno</w:t>
      </w:r>
      <w:proofErr w:type="spellEnd"/>
      <w:r w:rsidR="00E175F6" w:rsidRPr="00FC1434">
        <w:rPr>
          <w:b/>
          <w:bCs/>
          <w:i/>
          <w:iCs/>
          <w:sz w:val="20"/>
          <w:szCs w:val="20"/>
        </w:rPr>
        <w:t xml:space="preserve"> - sportowego w Rakoniewicach o basen przyszkolny wraz z kręgielnią oraz infrastrukturą techniczną i komunikacyjną”, zamierza się zmniejszyć plan wydatków (o kwotę niewykorzystaną tj. 1.366.742,24 zł) i część tej kwoty (</w:t>
      </w:r>
      <w:r w:rsidR="00A03723">
        <w:rPr>
          <w:b/>
          <w:bCs/>
          <w:i/>
          <w:iCs/>
          <w:sz w:val="20"/>
          <w:szCs w:val="20"/>
        </w:rPr>
        <w:t>190.000,00</w:t>
      </w:r>
      <w:r w:rsidR="00E175F6" w:rsidRPr="00FC1434">
        <w:rPr>
          <w:b/>
          <w:bCs/>
          <w:i/>
          <w:iCs/>
          <w:sz w:val="20"/>
          <w:szCs w:val="20"/>
        </w:rPr>
        <w:t xml:space="preserve"> zł) przeznaczyć na inne zadania realizowane w roku 2025 przez gminę.</w:t>
      </w:r>
      <w:r w:rsidR="00A03723">
        <w:rPr>
          <w:b/>
          <w:bCs/>
          <w:i/>
          <w:iCs/>
          <w:sz w:val="20"/>
          <w:szCs w:val="20"/>
        </w:rPr>
        <w:t xml:space="preserve"> Tym samym zmniejszyły się przychody o kwotę 8.257.142,24 zł. </w:t>
      </w:r>
      <w:r w:rsidR="00E175F6" w:rsidRPr="00FC1434">
        <w:rPr>
          <w:b/>
          <w:bCs/>
          <w:i/>
          <w:iCs/>
          <w:sz w:val="20"/>
          <w:szCs w:val="20"/>
        </w:rPr>
        <w:t xml:space="preserve">Sytuacja ta spowodowała, że zaciągnięcie pożyczki stało się bezprzedmiotowe,  wskazuje się na brak podstaw do zaciągnięcia zobowiązania. </w:t>
      </w:r>
      <w:r w:rsidR="00FC1434" w:rsidRPr="00FC1434">
        <w:rPr>
          <w:b/>
          <w:bCs/>
          <w:i/>
          <w:iCs/>
          <w:sz w:val="20"/>
          <w:szCs w:val="20"/>
        </w:rPr>
        <w:t>Ponadto Gmina Rakoniewice na dzień 1</w:t>
      </w:r>
      <w:r w:rsidR="00A03723">
        <w:rPr>
          <w:b/>
          <w:bCs/>
          <w:i/>
          <w:iCs/>
          <w:sz w:val="20"/>
          <w:szCs w:val="20"/>
        </w:rPr>
        <w:t>4</w:t>
      </w:r>
      <w:r w:rsidR="00FC1434" w:rsidRPr="00FC1434">
        <w:rPr>
          <w:b/>
          <w:bCs/>
          <w:i/>
          <w:iCs/>
          <w:sz w:val="20"/>
          <w:szCs w:val="20"/>
        </w:rPr>
        <w:t>.11.2025</w:t>
      </w:r>
      <w:r w:rsidR="00A26D1B">
        <w:rPr>
          <w:b/>
          <w:bCs/>
          <w:i/>
          <w:iCs/>
          <w:sz w:val="20"/>
          <w:szCs w:val="20"/>
        </w:rPr>
        <w:t xml:space="preserve"> r.</w:t>
      </w:r>
      <w:r w:rsidR="00FC1434" w:rsidRPr="00FC1434">
        <w:rPr>
          <w:b/>
          <w:bCs/>
          <w:i/>
          <w:iCs/>
          <w:sz w:val="20"/>
          <w:szCs w:val="20"/>
        </w:rPr>
        <w:t xml:space="preserve"> nie posiada zadłużenia oraz planowanych spłat z tyt. zaciągniętych zobowiązań, w związku z powyższym Wieloletnia Prognoza Finansowa Gminy Rakoniewice została opracowana na </w:t>
      </w:r>
      <w:r w:rsidR="00FC1434" w:rsidRPr="00FC1434">
        <w:rPr>
          <w:rFonts w:cs="Calibri"/>
          <w:b/>
          <w:bCs/>
          <w:i/>
          <w:iCs/>
          <w:kern w:val="0"/>
          <w:sz w:val="20"/>
          <w:szCs w:val="20"/>
        </w:rPr>
        <w:t>rok budżetowy oraz co najmniej trzy kolejne lata budżetowe (2026 – 2029), zgodnie z art. 227 ustawy o finansach publicznych.</w:t>
      </w:r>
      <w:r w:rsidR="00FC1434" w:rsidRPr="00FC1434">
        <w:rPr>
          <w:rFonts w:cs="Calibri"/>
          <w:b/>
          <w:bCs/>
          <w:kern w:val="0"/>
          <w:sz w:val="20"/>
          <w:szCs w:val="20"/>
        </w:rPr>
        <w:t xml:space="preserve"> </w:t>
      </w:r>
    </w:p>
    <w:p w14:paraId="22CA464F" w14:textId="6D657AB5" w:rsidR="00E175F6" w:rsidRPr="00E175F6" w:rsidRDefault="00E175F6" w:rsidP="00E175F6">
      <w:pPr>
        <w:spacing w:after="0"/>
        <w:ind w:firstLine="720"/>
        <w:jc w:val="both"/>
        <w:rPr>
          <w:rFonts w:eastAsia="Aptos"/>
          <w:b/>
          <w:bCs/>
          <w:i/>
          <w:iCs/>
          <w:sz w:val="20"/>
          <w:szCs w:val="20"/>
        </w:rPr>
      </w:pPr>
      <w:r w:rsidRPr="00E175F6">
        <w:rPr>
          <w:b/>
          <w:bCs/>
          <w:i/>
          <w:iCs/>
          <w:sz w:val="20"/>
          <w:szCs w:val="20"/>
          <w:u w:val="single"/>
        </w:rPr>
        <w:t xml:space="preserve">Stosowne zmiany w tym: zmiany w budżecie,  zmiany w WPF oraz uchylenie uchwały o zaciągnięciu pożyczki długoterminowej </w:t>
      </w:r>
      <w:r w:rsidR="00A03723">
        <w:rPr>
          <w:b/>
          <w:bCs/>
          <w:i/>
          <w:iCs/>
          <w:sz w:val="20"/>
          <w:szCs w:val="20"/>
          <w:u w:val="single"/>
        </w:rPr>
        <w:t xml:space="preserve">podjęto </w:t>
      </w:r>
      <w:r w:rsidRPr="00E175F6">
        <w:rPr>
          <w:b/>
          <w:bCs/>
          <w:i/>
          <w:iCs/>
          <w:sz w:val="20"/>
          <w:szCs w:val="20"/>
          <w:u w:val="single"/>
        </w:rPr>
        <w:t xml:space="preserve">na sesji Rady Miejskiej Rakoniewic w dniu </w:t>
      </w:r>
      <w:r w:rsidR="00A03723">
        <w:rPr>
          <w:b/>
          <w:bCs/>
          <w:i/>
          <w:iCs/>
          <w:sz w:val="20"/>
          <w:szCs w:val="20"/>
          <w:u w:val="single"/>
        </w:rPr>
        <w:t>14</w:t>
      </w:r>
      <w:r w:rsidRPr="00E175F6">
        <w:rPr>
          <w:b/>
          <w:bCs/>
          <w:i/>
          <w:iCs/>
          <w:sz w:val="20"/>
          <w:szCs w:val="20"/>
          <w:u w:val="single"/>
        </w:rPr>
        <w:t xml:space="preserve"> listopada 2025 r. Dlatego też </w:t>
      </w:r>
      <w:r w:rsidR="00A03723">
        <w:rPr>
          <w:b/>
          <w:bCs/>
          <w:i/>
          <w:iCs/>
          <w:sz w:val="20"/>
          <w:szCs w:val="20"/>
          <w:u w:val="single"/>
        </w:rPr>
        <w:t xml:space="preserve">dokonane zmiany </w:t>
      </w:r>
      <w:r w:rsidRPr="00E175F6">
        <w:rPr>
          <w:b/>
          <w:bCs/>
          <w:i/>
          <w:iCs/>
          <w:sz w:val="20"/>
          <w:szCs w:val="20"/>
          <w:u w:val="single"/>
        </w:rPr>
        <w:t xml:space="preserve">na dzień </w:t>
      </w:r>
      <w:r w:rsidR="00A03723">
        <w:rPr>
          <w:b/>
          <w:bCs/>
          <w:i/>
          <w:iCs/>
          <w:sz w:val="20"/>
          <w:szCs w:val="20"/>
          <w:u w:val="single"/>
        </w:rPr>
        <w:t>14</w:t>
      </w:r>
      <w:r w:rsidRPr="00E175F6">
        <w:rPr>
          <w:b/>
          <w:bCs/>
          <w:i/>
          <w:iCs/>
          <w:sz w:val="20"/>
          <w:szCs w:val="20"/>
          <w:u w:val="single"/>
        </w:rPr>
        <w:t xml:space="preserve">.11.2025 r. </w:t>
      </w:r>
      <w:r w:rsidR="00A03723">
        <w:rPr>
          <w:b/>
          <w:bCs/>
          <w:i/>
          <w:iCs/>
          <w:sz w:val="20"/>
          <w:szCs w:val="20"/>
          <w:u w:val="single"/>
        </w:rPr>
        <w:t xml:space="preserve">w tym: </w:t>
      </w:r>
      <w:r w:rsidRPr="00E175F6">
        <w:rPr>
          <w:b/>
          <w:bCs/>
          <w:i/>
          <w:iCs/>
          <w:sz w:val="20"/>
          <w:szCs w:val="20"/>
          <w:u w:val="single"/>
        </w:rPr>
        <w:t xml:space="preserve">zmiana uchwały budżetowej oraz zmiana WPF-u </w:t>
      </w:r>
      <w:r w:rsidRPr="00E175F6">
        <w:rPr>
          <w:rFonts w:eastAsia="Aptos"/>
          <w:b/>
          <w:bCs/>
          <w:i/>
          <w:iCs/>
          <w:sz w:val="20"/>
          <w:szCs w:val="20"/>
          <w:u w:val="single"/>
        </w:rPr>
        <w:t>winna stanowić punkt wyjścia do analizy przedłożonego projektu budżetu na 2026 i projektu WPF-u na lata 2026 - 20</w:t>
      </w:r>
      <w:r w:rsidR="00FC1434">
        <w:rPr>
          <w:rFonts w:eastAsia="Aptos"/>
          <w:b/>
          <w:bCs/>
          <w:i/>
          <w:iCs/>
          <w:sz w:val="20"/>
          <w:szCs w:val="20"/>
          <w:u w:val="single"/>
        </w:rPr>
        <w:t>29</w:t>
      </w:r>
      <w:r w:rsidRPr="00E175F6">
        <w:rPr>
          <w:rFonts w:eastAsia="Aptos"/>
          <w:b/>
          <w:bCs/>
          <w:i/>
          <w:iCs/>
          <w:sz w:val="20"/>
          <w:szCs w:val="20"/>
          <w:u w:val="single"/>
        </w:rPr>
        <w:t>.</w:t>
      </w:r>
    </w:p>
    <w:bookmarkEnd w:id="0"/>
    <w:p w14:paraId="462B247E" w14:textId="312CC81C" w:rsidR="008132B3" w:rsidRPr="008132B3" w:rsidRDefault="008132B3" w:rsidP="00E175F6">
      <w:pPr>
        <w:autoSpaceDE w:val="0"/>
        <w:spacing w:after="0" w:line="276" w:lineRule="auto"/>
        <w:ind w:right="105" w:firstLine="708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lastRenderedPageBreak/>
        <w:t xml:space="preserve">Na rok 2026 planuje się </w:t>
      </w:r>
      <w:r w:rsidR="008D13C5">
        <w:rPr>
          <w:rFonts w:cs="Calibri"/>
          <w:kern w:val="0"/>
          <w:sz w:val="20"/>
          <w:szCs w:val="20"/>
        </w:rPr>
        <w:t>deficyt</w:t>
      </w:r>
      <w:r w:rsidRPr="008132B3">
        <w:rPr>
          <w:rFonts w:cs="Calibri"/>
          <w:kern w:val="0"/>
          <w:sz w:val="20"/>
          <w:szCs w:val="20"/>
        </w:rPr>
        <w:t xml:space="preserve"> budżetow</w:t>
      </w:r>
      <w:r w:rsidR="008D13C5">
        <w:rPr>
          <w:rFonts w:cs="Calibri"/>
          <w:kern w:val="0"/>
          <w:sz w:val="20"/>
          <w:szCs w:val="20"/>
        </w:rPr>
        <w:t>y</w:t>
      </w:r>
      <w:r w:rsidRPr="008132B3">
        <w:rPr>
          <w:rFonts w:cs="Calibri"/>
          <w:kern w:val="0"/>
          <w:sz w:val="20"/>
          <w:szCs w:val="20"/>
        </w:rPr>
        <w:t xml:space="preserve"> w wysokości </w:t>
      </w:r>
      <w:r w:rsidRPr="008132B3">
        <w:rPr>
          <w:rFonts w:cs="Calibri"/>
          <w:b/>
          <w:bCs/>
          <w:kern w:val="0"/>
          <w:sz w:val="20"/>
          <w:szCs w:val="20"/>
        </w:rPr>
        <w:t>221 993,88 zł</w:t>
      </w:r>
      <w:r w:rsidRPr="008132B3">
        <w:rPr>
          <w:rFonts w:cs="Calibri"/>
          <w:kern w:val="0"/>
          <w:sz w:val="20"/>
          <w:szCs w:val="20"/>
        </w:rPr>
        <w:t xml:space="preserve">, który zostanie w całości pokryty z </w:t>
      </w:r>
      <w:r w:rsidRPr="008132B3">
        <w:rPr>
          <w:rFonts w:cs="Calibri"/>
          <w:b/>
          <w:bCs/>
          <w:kern w:val="0"/>
          <w:sz w:val="20"/>
          <w:szCs w:val="20"/>
        </w:rPr>
        <w:t>nadwyżki budżetowej z lat ubiegłych</w:t>
      </w:r>
      <w:r w:rsidRPr="008132B3">
        <w:rPr>
          <w:rFonts w:cs="Calibri"/>
          <w:kern w:val="0"/>
          <w:sz w:val="20"/>
          <w:szCs w:val="20"/>
        </w:rPr>
        <w:t>. W 2026 roku nie planuje się rozchodów z tytułu spłat wcześniej zaciągniętych zobowiązań.</w:t>
      </w:r>
    </w:p>
    <w:p w14:paraId="0023C5A7" w14:textId="6CE00074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Przy opracowywaniu prognozy na kolejne lata wykorzystano założenia makroekonomiczne Ministerstwa Finansów zawarte w dokumencie:</w:t>
      </w:r>
      <w:r w:rsidR="008D13C5">
        <w:rPr>
          <w:rFonts w:cs="Calibri"/>
          <w:kern w:val="0"/>
          <w:sz w:val="20"/>
          <w:szCs w:val="20"/>
        </w:rPr>
        <w:t xml:space="preserve"> </w:t>
      </w:r>
      <w:r w:rsidRPr="008132B3">
        <w:rPr>
          <w:rFonts w:cs="Calibri"/>
          <w:b/>
          <w:bCs/>
          <w:kern w:val="0"/>
          <w:sz w:val="20"/>
          <w:szCs w:val="20"/>
        </w:rPr>
        <w:t>„Wytyczne dotyczące stosowania jednolitych wskaźników makroekonomicznych będących podstawą oszacowania skutków finansowych projektowanych ustaw – aktualizacja lipiec 2025 r.”</w:t>
      </w:r>
      <w:r w:rsidRPr="008132B3">
        <w:rPr>
          <w:rFonts w:cs="Calibri"/>
          <w:kern w:val="0"/>
          <w:sz w:val="20"/>
          <w:szCs w:val="20"/>
        </w:rPr>
        <w:t>.</w:t>
      </w:r>
      <w:r w:rsidR="008D13C5">
        <w:rPr>
          <w:rFonts w:cs="Calibri"/>
          <w:kern w:val="0"/>
          <w:sz w:val="20"/>
          <w:szCs w:val="20"/>
        </w:rPr>
        <w:t xml:space="preserve"> </w:t>
      </w:r>
      <w:r w:rsidRPr="008132B3">
        <w:rPr>
          <w:rFonts w:cs="Calibri"/>
          <w:kern w:val="0"/>
          <w:sz w:val="20"/>
          <w:szCs w:val="20"/>
        </w:rPr>
        <w:t>W oparciu o te wytyczne przyjęto m.in. wskaźniki dynamiki produktu krajowego brutto (PKB), inflacji CPI, wynagrodzeń w gospodarce narodowej oraz zatrudnienia.</w:t>
      </w:r>
    </w:p>
    <w:p w14:paraId="77623CE7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Dochody z tytułu udziałów w podatkach PIT i CIT na rok 2026 ustalono zgodnie z wartościami przekazanymi przez Ministra Finansów, opartymi na danych o dochodach podatników za 2024 rok. W latach 2027–2029 dochody te zostały zwaloryzowane z wykorzystaniem prognozowanych wskaźników makroekonomicznych – dla PIT przyjęto dynamikę wynagrodzeń i zatrudnienia, natomiast dla CIT dynamikę nominalnego PKB.</w:t>
      </w:r>
    </w:p>
    <w:p w14:paraId="0EC774B1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W zakresie prognozy wydatków bieżących, w tym wynagrodzeń, przyjęto wskaźniki wzrostu płac w gospodarce narodowej wynikające z ww. dokumentu, natomiast pozostałe wydatki bieżące zwaloryzowano wskaźnikiem inflacji CPI.</w:t>
      </w:r>
    </w:p>
    <w:p w14:paraId="14D45516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 xml:space="preserve">Podstawowym elementem Wieloletniej Prognozy Finansowej jest </w:t>
      </w:r>
      <w:r w:rsidRPr="008132B3">
        <w:rPr>
          <w:rFonts w:cs="Calibri"/>
          <w:b/>
          <w:bCs/>
          <w:kern w:val="0"/>
          <w:sz w:val="20"/>
          <w:szCs w:val="20"/>
        </w:rPr>
        <w:t>załącznik nr 1</w:t>
      </w:r>
      <w:r w:rsidRPr="008132B3">
        <w:rPr>
          <w:rFonts w:cs="Calibri"/>
          <w:kern w:val="0"/>
          <w:sz w:val="20"/>
          <w:szCs w:val="20"/>
        </w:rPr>
        <w:t xml:space="preserve"> do projektu uchwały Rady Gminy, zawierający dane dotyczące prognozowanych dochodów, wydatków, przychodów, rozchodów oraz wyniku budżetu w poszczególnych latach, a także limity zobowiązań wynikających z realizowanych przedsięwzięć. Załącznik ten przedstawia również analizę czynników wpływających na kształtowanie się wyniku budżetu, w tym zmian w strukturze dochodów własnych, dynamiki wydatków bieżących oraz potencjału inwestycyjnego Gminy.</w:t>
      </w:r>
    </w:p>
    <w:p w14:paraId="30D0FBF8" w14:textId="77777777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WPF ma charakter kroczący, co oznacza, że jest dokumentem corocznie aktualizowanym w oparciu o rzeczywiste wykonanie budżetu oraz zmieniające się uwarunkowania gospodarcze i prawne. Dzięki temu stanowi narzędzie bieżącego monitorowania kondycji finansowej Gminy i umożliwia planowanie wieloletnich przedsięwzięć w sposób bezpieczny i racjonalny.</w:t>
      </w:r>
    </w:p>
    <w:p w14:paraId="5C5F1DCD" w14:textId="61AC3BD0" w:rsidR="008132B3" w:rsidRPr="008132B3" w:rsidRDefault="008132B3" w:rsidP="008132B3">
      <w:pPr>
        <w:autoSpaceDE w:val="0"/>
        <w:spacing w:after="0" w:line="276" w:lineRule="auto"/>
        <w:ind w:right="105"/>
        <w:jc w:val="both"/>
        <w:rPr>
          <w:rFonts w:cs="Calibri"/>
          <w:kern w:val="0"/>
          <w:sz w:val="20"/>
          <w:szCs w:val="20"/>
        </w:rPr>
      </w:pPr>
      <w:r w:rsidRPr="008132B3">
        <w:rPr>
          <w:rFonts w:cs="Calibri"/>
          <w:kern w:val="0"/>
          <w:sz w:val="20"/>
          <w:szCs w:val="20"/>
        </w:rPr>
        <w:t>Wieloletnia Prognoza Finansowa Gminy Rakoniewice na lata 2026–20</w:t>
      </w:r>
      <w:r w:rsidR="00FC1434">
        <w:rPr>
          <w:rFonts w:cs="Calibri"/>
          <w:kern w:val="0"/>
          <w:sz w:val="20"/>
          <w:szCs w:val="20"/>
        </w:rPr>
        <w:t>29</w:t>
      </w:r>
      <w:r w:rsidRPr="008132B3">
        <w:rPr>
          <w:rFonts w:cs="Calibri"/>
          <w:kern w:val="0"/>
          <w:sz w:val="20"/>
          <w:szCs w:val="20"/>
        </w:rPr>
        <w:t xml:space="preserve"> została opracowana w zgodzie z obowiązującymi przepisami prawa, w oparciu o rzetelne dane planistyczne i realne wskaźniki makroekonomiczne. Dokument ten odzwierciedla aktualne uwarunkowania finansowe i gospodarcze, zapewniając ciągłość i stabilność finansów Gminy w perspektywie średniookresowej oraz stanowi podstawę do prowadzenia zrównoważonej polityki budżetowej i inwestycyjnej.</w:t>
      </w:r>
    </w:p>
    <w:p w14:paraId="6120E73B" w14:textId="77777777" w:rsidR="00583130" w:rsidRDefault="00A94F7C" w:rsidP="00CD0B82">
      <w:pPr>
        <w:pStyle w:val="Akapitzlist"/>
        <w:spacing w:before="120" w:after="120"/>
        <w:ind w:left="6"/>
        <w:jc w:val="both"/>
        <w:rPr>
          <w:sz w:val="20"/>
          <w:szCs w:val="20"/>
        </w:rPr>
      </w:pPr>
      <w:r w:rsidRPr="000C62A9">
        <w:rPr>
          <w:sz w:val="20"/>
          <w:szCs w:val="20"/>
        </w:rPr>
        <w:t>Poniższa tabela przedstawia jej najważniejsze wartości:</w:t>
      </w:r>
    </w:p>
    <w:p w14:paraId="73F18181" w14:textId="7DBDE83D" w:rsidR="00CD0B82" w:rsidRDefault="00CD0B82" w:rsidP="00CD0B82">
      <w:pPr>
        <w:pStyle w:val="Akapitzlist"/>
        <w:spacing w:after="0"/>
        <w:ind w:left="6"/>
        <w:jc w:val="both"/>
        <w:rPr>
          <w:sz w:val="20"/>
          <w:szCs w:val="20"/>
        </w:rPr>
      </w:pPr>
      <w:r w:rsidRPr="00CD0B82">
        <w:rPr>
          <w:noProof/>
        </w:rPr>
        <w:drawing>
          <wp:inline distT="0" distB="0" distL="0" distR="0" wp14:anchorId="61033113" wp14:editId="4521C33F">
            <wp:extent cx="5151755" cy="743585"/>
            <wp:effectExtent l="0" t="0" r="0" b="0"/>
            <wp:docPr id="1240825919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1755" cy="743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7DE650" w14:textId="52412E1B" w:rsidR="00583130" w:rsidRDefault="00A94F7C" w:rsidP="00CD0B82">
      <w:pPr>
        <w:spacing w:before="120" w:after="0" w:line="276" w:lineRule="auto"/>
        <w:ind w:right="108" w:hanging="11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t xml:space="preserve">W projekcjach wykorzystano model umożliwiający budowanie prognozy w oparciu o stały wskaźnik wzrostu (spadku) lub jako funkcję inflacji, PKB lub wzrostu płac: </w:t>
      </w:r>
    </w:p>
    <w:p w14:paraId="54E28F05" w14:textId="77777777" w:rsidR="000C62A9" w:rsidRPr="000C62A9" w:rsidRDefault="000C62A9">
      <w:pPr>
        <w:spacing w:after="0" w:line="276" w:lineRule="auto"/>
        <w:ind w:right="108" w:hanging="11"/>
        <w:jc w:val="both"/>
        <w:rPr>
          <w:rFonts w:cs="Calibri"/>
          <w:sz w:val="16"/>
          <w:szCs w:val="16"/>
        </w:rPr>
      </w:pPr>
    </w:p>
    <w:p w14:paraId="5CF95F81" w14:textId="77777777" w:rsidR="00583130" w:rsidRPr="000C62A9" w:rsidRDefault="00EB63A8">
      <w:pPr>
        <w:spacing w:after="0" w:line="276" w:lineRule="auto"/>
        <w:ind w:left="360"/>
        <w:jc w:val="center"/>
        <w:rPr>
          <w:rFonts w:cs="Calibri"/>
          <w:sz w:val="20"/>
          <w:szCs w:val="20"/>
        </w:rPr>
      </w:pPr>
      <m:oMathPara>
        <m:oMathParaPr>
          <m:jc m:val="center"/>
        </m:oMathParaPr>
        <m:oMath>
          <m:sSubSup>
            <m:sSubSup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SupPr>
            <m:e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t</m:t>
              </m:r>
            </m:sub>
            <m:sup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*</m:t>
              </m:r>
            </m:sup>
          </m:sSubSup>
          <m:r>
            <w:rPr>
              <w:rFonts w:ascii="Cambria Math" w:hAnsi="Cambria Math" w:cs="Calibri"/>
              <w:sz w:val="20"/>
              <w:szCs w:val="20"/>
            </w:rPr>
            <m:t>=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y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t</m:t>
              </m:r>
              <m:r>
                <w:rPr>
                  <w:rFonts w:ascii="Cambria Math" w:hAnsi="Cambria Math" w:cs="Calibri"/>
                  <w:sz w:val="20"/>
                  <w:szCs w:val="20"/>
                </w:rPr>
                <m:t>-1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Calibri"/>
                  <w:sz w:val="20"/>
                  <w:szCs w:val="20"/>
                </w:rPr>
                <m:t>1+</m:t>
              </m:r>
              <m:sSub>
                <m:sSubPr>
                  <m:ctrlPr>
                    <w:rPr>
                      <w:rFonts w:ascii="Cambria Math" w:hAnsi="Cambria Math" w:cs="Calibri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CPI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Calibri"/>
                  <w:sz w:val="20"/>
                  <w:szCs w:val="20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Calibri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cpi</m:t>
                  </m:r>
                </m:e>
              </m:d>
            </m:e>
          </m:d>
          <m:r>
            <w:rPr>
              <w:rFonts w:ascii="Cambria Math" w:hAnsi="Cambria Math" w:cs="Calibri"/>
              <w:sz w:val="20"/>
              <w:szCs w:val="20"/>
            </w:rPr>
            <m:t>∙</m:t>
          </m:r>
          <m:d>
            <m:dPr>
              <m:begChr m:val="["/>
              <m:endChr m:val="]"/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dPr>
            <m:e>
              <m:r>
                <w:rPr>
                  <w:rFonts w:ascii="Cambria Math" w:hAnsi="Cambria Math" w:cs="Calibri"/>
                  <w:sz w:val="20"/>
                  <w:szCs w:val="20"/>
                </w:rPr>
                <m:t>1+</m:t>
              </m:r>
              <m:sSub>
                <m:sSubPr>
                  <m:ctrlPr>
                    <w:rPr>
                      <w:rFonts w:ascii="Cambria Math" w:hAnsi="Cambria Math" w:cs="Calibri"/>
                      <w:sz w:val="20"/>
                      <w:szCs w:val="20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PKB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t</m:t>
                  </m:r>
                </m:sub>
              </m:sSub>
              <m:r>
                <w:rPr>
                  <w:rFonts w:ascii="Cambria Math" w:hAnsi="Cambria Math" w:cs="Calibri"/>
                  <w:sz w:val="20"/>
                  <w:szCs w:val="20"/>
                </w:rPr>
                <m:t>∙</m:t>
              </m:r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W</m:t>
              </m:r>
              <m:d>
                <m:dPr>
                  <m:ctrlPr>
                    <w:rPr>
                      <w:rFonts w:ascii="Cambria Math" w:hAnsi="Cambria Math" w:cs="Calibri"/>
                      <w:sz w:val="20"/>
                      <w:szCs w:val="20"/>
                    </w:rPr>
                  </m:ctrlPr>
                </m:dPr>
                <m:e>
                  <m:r>
                    <m:rPr>
                      <m:sty m:val="bi"/>
                    </m:rPr>
                    <w:rPr>
                      <w:rFonts w:ascii="Cambria Math" w:hAnsi="Cambria Math" w:cs="Calibri"/>
                      <w:sz w:val="20"/>
                      <w:szCs w:val="20"/>
                    </w:rPr>
                    <m:t>pkb</m:t>
                  </m:r>
                </m:e>
              </m:d>
            </m:e>
          </m:d>
          <m:r>
            <w:rPr>
              <w:rFonts w:ascii="Cambria Math" w:hAnsi="Cambria Math" w:cs="Calibri"/>
              <w:sz w:val="20"/>
              <w:szCs w:val="20"/>
            </w:rPr>
            <m:t>∙[1+</m:t>
          </m:r>
          <m:sSub>
            <m:sSub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Iw</m:t>
              </m:r>
            </m:e>
            <m:sub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t</m:t>
              </m:r>
            </m:sub>
          </m:sSub>
          <m:r>
            <w:rPr>
              <w:rFonts w:ascii="Cambria Math" w:hAnsi="Cambria Math" w:cs="Calibri"/>
              <w:sz w:val="20"/>
              <w:szCs w:val="20"/>
            </w:rPr>
            <m:t>∙</m:t>
          </m:r>
          <m:r>
            <m:rPr>
              <m:sty m:val="bi"/>
            </m:rPr>
            <w:rPr>
              <w:rFonts w:ascii="Cambria Math" w:hAnsi="Cambria Math" w:cs="Calibri"/>
              <w:sz w:val="20"/>
              <w:szCs w:val="20"/>
            </w:rPr>
            <m:t>W</m:t>
          </m:r>
          <m:d>
            <m:dPr>
              <m:ctrlPr>
                <w:rPr>
                  <w:rFonts w:ascii="Cambria Math" w:hAnsi="Cambria Math" w:cs="Calibri"/>
                  <w:sz w:val="20"/>
                  <w:szCs w:val="20"/>
                </w:rPr>
              </m:ctrlPr>
            </m:dPr>
            <m:e>
              <m:r>
                <m:rPr>
                  <m:sty m:val="bi"/>
                </m:rPr>
                <w:rPr>
                  <w:rFonts w:ascii="Cambria Math" w:hAnsi="Cambria Math" w:cs="Calibri"/>
                  <w:sz w:val="20"/>
                  <w:szCs w:val="20"/>
                </w:rPr>
                <m:t>Iw</m:t>
              </m:r>
            </m:e>
          </m:d>
          <m:r>
            <w:rPr>
              <w:rFonts w:ascii="Cambria Math" w:hAnsi="Cambria Math" w:cs="Calibri"/>
              <w:sz w:val="20"/>
              <w:szCs w:val="20"/>
            </w:rPr>
            <m:t>]</m:t>
          </m:r>
        </m:oMath>
      </m:oMathPara>
    </w:p>
    <w:p w14:paraId="65D1CCE6" w14:textId="77777777" w:rsidR="00583130" w:rsidRPr="000C62A9" w:rsidRDefault="00A94F7C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t>gdzie:</w:t>
      </w:r>
    </w:p>
    <w:p w14:paraId="3CAE891E" w14:textId="77777777" w:rsidR="00583130" w:rsidRPr="000C62A9" w:rsidRDefault="00A94F7C">
      <w:pPr>
        <w:tabs>
          <w:tab w:val="left" w:pos="1843"/>
        </w:tabs>
        <w:spacing w:after="0" w:line="276" w:lineRule="auto"/>
        <w:jc w:val="both"/>
        <w:rPr>
          <w:rFonts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CP</m:t>
        </m:r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I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t</m:t>
            </m:r>
          </m:sub>
        </m:sSub>
      </m:oMath>
      <w:r w:rsidRPr="000C62A9">
        <w:rPr>
          <w:rFonts w:cs="Calibri"/>
          <w:sz w:val="20"/>
          <w:szCs w:val="20"/>
        </w:rPr>
        <w:tab/>
        <w:t>- wskaźnik inflacji w momencie t,</w:t>
      </w:r>
    </w:p>
    <w:p w14:paraId="0ECF1D84" w14:textId="77777777" w:rsidR="00583130" w:rsidRPr="000C62A9" w:rsidRDefault="00A94F7C">
      <w:pPr>
        <w:tabs>
          <w:tab w:val="left" w:pos="1843"/>
        </w:tabs>
        <w:spacing w:after="0" w:line="276" w:lineRule="auto"/>
        <w:jc w:val="both"/>
        <w:rPr>
          <w:rFonts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W(cpi)</m:t>
        </m:r>
      </m:oMath>
      <w:r w:rsidRPr="000C62A9">
        <w:rPr>
          <w:rFonts w:cs="Calibri"/>
          <w:sz w:val="20"/>
          <w:szCs w:val="20"/>
        </w:rPr>
        <w:tab/>
        <w:t>- waga inflacji,</w:t>
      </w:r>
    </w:p>
    <w:p w14:paraId="3AAC0DB8" w14:textId="77777777" w:rsidR="00583130" w:rsidRPr="000C62A9" w:rsidRDefault="00A94F7C">
      <w:pPr>
        <w:tabs>
          <w:tab w:val="left" w:pos="1843"/>
        </w:tabs>
        <w:spacing w:after="0" w:line="276" w:lineRule="auto"/>
        <w:jc w:val="both"/>
        <w:rPr>
          <w:rFonts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PK</m:t>
        </m:r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B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t</m:t>
            </m:r>
          </m:sub>
        </m:sSub>
      </m:oMath>
      <w:r w:rsidRPr="000C62A9">
        <w:rPr>
          <w:rFonts w:cs="Calibri"/>
          <w:sz w:val="20"/>
          <w:szCs w:val="20"/>
        </w:rPr>
        <w:t xml:space="preserve"> </w:t>
      </w:r>
      <w:r w:rsidRPr="000C62A9">
        <w:rPr>
          <w:rFonts w:cs="Calibri"/>
          <w:sz w:val="20"/>
          <w:szCs w:val="20"/>
        </w:rPr>
        <w:tab/>
        <w:t>- wzrost PKB w momencie t,</w:t>
      </w:r>
    </w:p>
    <w:p w14:paraId="75973198" w14:textId="77777777" w:rsidR="00583130" w:rsidRPr="000C62A9" w:rsidRDefault="00A94F7C">
      <w:pPr>
        <w:tabs>
          <w:tab w:val="left" w:pos="1843"/>
        </w:tabs>
        <w:spacing w:after="0" w:line="276" w:lineRule="auto"/>
        <w:jc w:val="both"/>
        <w:rPr>
          <w:rFonts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W(pkb)</m:t>
        </m:r>
      </m:oMath>
      <w:r w:rsidRPr="000C62A9">
        <w:rPr>
          <w:rFonts w:cs="Calibri"/>
          <w:sz w:val="20"/>
          <w:szCs w:val="20"/>
        </w:rPr>
        <w:tab/>
        <w:t>- waga PKB,</w:t>
      </w:r>
    </w:p>
    <w:p w14:paraId="445687AF" w14:textId="77777777" w:rsidR="00583130" w:rsidRPr="000C62A9" w:rsidRDefault="00EB63A8">
      <w:pPr>
        <w:tabs>
          <w:tab w:val="left" w:pos="1843"/>
        </w:tabs>
        <w:spacing w:after="0" w:line="276" w:lineRule="auto"/>
        <w:jc w:val="both"/>
        <w:rPr>
          <w:rFonts w:cs="Calibri"/>
          <w:sz w:val="20"/>
          <w:szCs w:val="20"/>
        </w:rPr>
      </w:pPr>
      <m:oMath>
        <m:sSub>
          <m:sSubPr>
            <m:ctrlPr>
              <w:rPr>
                <w:rFonts w:ascii="Cambria Math" w:hAnsi="Cambria Math" w:cs="Calibri"/>
                <w:sz w:val="20"/>
                <w:szCs w:val="20"/>
              </w:rPr>
            </m:ctrlPr>
          </m:sSubPr>
          <m:e>
            <m:r>
              <w:rPr>
                <w:rFonts w:ascii="Cambria Math" w:hAnsi="Cambria Math" w:cs="Calibri"/>
                <w:sz w:val="20"/>
                <w:szCs w:val="20"/>
              </w:rPr>
              <m:t>Iw</m:t>
            </m:r>
          </m:e>
          <m:sub>
            <m:r>
              <w:rPr>
                <w:rFonts w:ascii="Cambria Math" w:hAnsi="Cambria Math" w:cs="Calibri"/>
                <w:sz w:val="20"/>
                <w:szCs w:val="20"/>
              </w:rPr>
              <m:t>t</m:t>
            </m:r>
          </m:sub>
        </m:sSub>
      </m:oMath>
      <w:r w:rsidR="00A94F7C" w:rsidRPr="000C62A9">
        <w:rPr>
          <w:rFonts w:cs="Calibri"/>
          <w:sz w:val="20"/>
          <w:szCs w:val="20"/>
        </w:rPr>
        <w:t xml:space="preserve"> </w:t>
      </w:r>
      <w:r w:rsidR="00A94F7C" w:rsidRPr="000C62A9">
        <w:rPr>
          <w:rFonts w:cs="Calibri"/>
          <w:sz w:val="20"/>
          <w:szCs w:val="20"/>
        </w:rPr>
        <w:tab/>
        <w:t>- wzrost płac w momencie t,</w:t>
      </w:r>
    </w:p>
    <w:p w14:paraId="46A01AF7" w14:textId="77777777" w:rsidR="00583130" w:rsidRPr="000C62A9" w:rsidRDefault="00A94F7C">
      <w:pPr>
        <w:tabs>
          <w:tab w:val="left" w:pos="1843"/>
        </w:tabs>
        <w:spacing w:after="0" w:line="276" w:lineRule="auto"/>
        <w:ind w:left="11" w:hanging="11"/>
        <w:jc w:val="both"/>
        <w:rPr>
          <w:rFonts w:cs="Calibri"/>
          <w:sz w:val="20"/>
          <w:szCs w:val="20"/>
        </w:rPr>
      </w:pPr>
      <m:oMath>
        <m:r>
          <w:rPr>
            <w:rFonts w:ascii="Cambria Math" w:hAnsi="Cambria Math" w:cs="Calibri"/>
            <w:sz w:val="20"/>
            <w:szCs w:val="20"/>
          </w:rPr>
          <m:t>W(Iw)</m:t>
        </m:r>
      </m:oMath>
      <w:r w:rsidRPr="000C62A9">
        <w:rPr>
          <w:rFonts w:cs="Calibri"/>
          <w:sz w:val="20"/>
          <w:szCs w:val="20"/>
        </w:rPr>
        <w:tab/>
        <w:t>- waga wzrostu płac.</w:t>
      </w:r>
    </w:p>
    <w:p w14:paraId="07376022" w14:textId="77777777" w:rsidR="00583130" w:rsidRPr="000C62A9" w:rsidRDefault="00A94F7C" w:rsidP="000C62A9">
      <w:pPr>
        <w:spacing w:before="120" w:after="0" w:line="276" w:lineRule="auto"/>
        <w:ind w:right="108" w:hanging="11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t>Wielkość wag została wyznaczona na podstawie historycznego kształtowania się danych w cenach stałych i bieżących, zaobserwowanej dynamiki w cenach bieżących i dynamiki cen, a także opinii opartych na eksperckiej wiedzy i doświadczeniu.</w:t>
      </w:r>
    </w:p>
    <w:p w14:paraId="726FA921" w14:textId="77777777" w:rsidR="00583130" w:rsidRPr="000C62A9" w:rsidRDefault="00A94F7C">
      <w:pPr>
        <w:spacing w:after="0" w:line="276" w:lineRule="auto"/>
        <w:ind w:right="108" w:hanging="11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lastRenderedPageBreak/>
        <w:t>Z uwagi na nową ustawę o dochodach JST, wagi oraz wskaźniki wzrostu przyjęto zgodnie z zasadami waloryzacji podstawowych źródeł dochodów, wynikających z tej ustawy.</w:t>
      </w:r>
    </w:p>
    <w:p w14:paraId="40B83A58" w14:textId="77777777" w:rsidR="00583130" w:rsidRPr="000C62A9" w:rsidRDefault="00583130">
      <w:pPr>
        <w:spacing w:after="0" w:line="276" w:lineRule="auto"/>
        <w:ind w:right="108" w:hanging="11"/>
        <w:jc w:val="both"/>
        <w:rPr>
          <w:rFonts w:cs="Calibri"/>
          <w:sz w:val="20"/>
          <w:szCs w:val="20"/>
        </w:rPr>
      </w:pPr>
    </w:p>
    <w:p w14:paraId="76A31669" w14:textId="77777777" w:rsidR="00583130" w:rsidRPr="000C62A9" w:rsidRDefault="00A94F7C">
      <w:pPr>
        <w:keepNext/>
        <w:keepLines/>
        <w:autoSpaceDE w:val="0"/>
        <w:spacing w:after="0" w:line="276" w:lineRule="auto"/>
        <w:ind w:right="102"/>
        <w:jc w:val="both"/>
        <w:rPr>
          <w:rFonts w:cs="Calibri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>I.</w:t>
      </w:r>
      <w:r w:rsidRPr="000C62A9">
        <w:rPr>
          <w:rFonts w:cs="Calibri"/>
          <w:kern w:val="0"/>
          <w:sz w:val="20"/>
          <w:szCs w:val="20"/>
        </w:rPr>
        <w:t xml:space="preserve"> </w:t>
      </w:r>
      <w:r w:rsidRPr="000C62A9">
        <w:rPr>
          <w:rFonts w:cs="Calibri"/>
          <w:b/>
          <w:bCs/>
          <w:kern w:val="0"/>
          <w:sz w:val="20"/>
          <w:szCs w:val="20"/>
        </w:rPr>
        <w:t xml:space="preserve">DOCHODY </w:t>
      </w:r>
    </w:p>
    <w:p w14:paraId="699FAF2E" w14:textId="6F6DA854" w:rsidR="00583130" w:rsidRPr="000C62A9" w:rsidRDefault="00A94F7C" w:rsidP="000C62A9">
      <w:pPr>
        <w:autoSpaceDE w:val="0"/>
        <w:spacing w:after="0" w:line="276" w:lineRule="auto"/>
        <w:ind w:right="108"/>
        <w:jc w:val="both"/>
        <w:rPr>
          <w:rFonts w:cs="Calibri"/>
          <w:kern w:val="0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>Dochody w Wieloletniej Prognozie Finansowej wskazuje się w podziale na bieżące</w:t>
      </w:r>
      <w:r w:rsidR="000C62A9">
        <w:rPr>
          <w:rFonts w:cs="Calibri"/>
          <w:kern w:val="0"/>
          <w:sz w:val="20"/>
          <w:szCs w:val="20"/>
        </w:rPr>
        <w:t xml:space="preserve"> </w:t>
      </w:r>
      <w:r w:rsidRPr="000C62A9">
        <w:rPr>
          <w:rFonts w:cs="Calibri"/>
          <w:kern w:val="0"/>
          <w:sz w:val="20"/>
          <w:szCs w:val="20"/>
        </w:rPr>
        <w:t xml:space="preserve">i majątkowe. Grupy te dodatkowo podzielono na kilka źródeł. </w:t>
      </w:r>
    </w:p>
    <w:p w14:paraId="2E106D6D" w14:textId="77777777" w:rsidR="00583130" w:rsidRPr="000C62A9" w:rsidRDefault="00583130">
      <w:pPr>
        <w:autoSpaceDE w:val="0"/>
        <w:spacing w:after="0" w:line="276" w:lineRule="auto"/>
        <w:ind w:right="108"/>
        <w:jc w:val="both"/>
        <w:rPr>
          <w:rFonts w:cs="Calibri"/>
          <w:kern w:val="0"/>
          <w:sz w:val="20"/>
          <w:szCs w:val="20"/>
        </w:rPr>
      </w:pPr>
    </w:p>
    <w:p w14:paraId="4742AFC9" w14:textId="77777777" w:rsidR="00583130" w:rsidRPr="000C62A9" w:rsidRDefault="00A94F7C">
      <w:pPr>
        <w:keepNext/>
        <w:keepLines/>
        <w:autoSpaceDE w:val="0"/>
        <w:spacing w:after="0" w:line="276" w:lineRule="auto"/>
        <w:ind w:right="102"/>
        <w:jc w:val="both"/>
        <w:rPr>
          <w:rFonts w:cs="Calibri"/>
          <w:b/>
          <w:bCs/>
          <w:kern w:val="0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 xml:space="preserve">DOCHODY BIEŻĄCE </w:t>
      </w:r>
    </w:p>
    <w:p w14:paraId="645E8CE8" w14:textId="77777777" w:rsidR="00583130" w:rsidRDefault="00A94F7C" w:rsidP="000C62A9">
      <w:pPr>
        <w:autoSpaceDE w:val="0"/>
        <w:spacing w:after="120" w:line="276" w:lineRule="auto"/>
        <w:ind w:right="170"/>
        <w:jc w:val="both"/>
        <w:rPr>
          <w:rFonts w:cs="Calibri"/>
          <w:kern w:val="0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>Kluczowym elementem przyjętym do wyliczenia dochodów w kolejnych latach były dochody bieżące Podzielono je wg źródeł i przyjęto dla nich następujące założenia:</w:t>
      </w:r>
    </w:p>
    <w:p w14:paraId="625D9E55" w14:textId="328735D5" w:rsidR="00CD0B82" w:rsidRPr="000C62A9" w:rsidRDefault="00DA4DB2" w:rsidP="00CD0B82">
      <w:pPr>
        <w:autoSpaceDE w:val="0"/>
        <w:spacing w:after="0" w:line="276" w:lineRule="auto"/>
        <w:ind w:right="170"/>
        <w:jc w:val="both"/>
        <w:rPr>
          <w:rFonts w:cs="Calibri"/>
          <w:kern w:val="0"/>
          <w:sz w:val="20"/>
          <w:szCs w:val="20"/>
        </w:rPr>
      </w:pPr>
      <w:r w:rsidRPr="00DA4DB2">
        <w:rPr>
          <w:noProof/>
        </w:rPr>
        <w:drawing>
          <wp:inline distT="0" distB="0" distL="0" distR="0" wp14:anchorId="43A99D06" wp14:editId="3A970979">
            <wp:extent cx="5756910" cy="1542197"/>
            <wp:effectExtent l="0" t="0" r="0" b="1270"/>
            <wp:docPr id="536146906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614" cy="1543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E80563" w14:textId="16561F26" w:rsidR="00583130" w:rsidRPr="00CD0B82" w:rsidRDefault="00A94F7C">
      <w:pPr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eastAsia="Times New Roman" w:cs="Calibri"/>
          <w:i/>
          <w:iCs/>
          <w:kern w:val="0"/>
          <w:sz w:val="18"/>
          <w:szCs w:val="18"/>
          <w:lang w:eastAsia="pl-PL"/>
        </w:rPr>
      </w:pPr>
      <w:r w:rsidRPr="00CD0B82">
        <w:rPr>
          <w:rFonts w:eastAsia="Times New Roman" w:cs="Calibri"/>
          <w:i/>
          <w:iCs/>
          <w:kern w:val="0"/>
          <w:sz w:val="18"/>
          <w:szCs w:val="18"/>
          <w:lang w:eastAsia="pl-PL"/>
        </w:rPr>
        <w:t>Źródło: Opracowanie własne.</w:t>
      </w:r>
    </w:p>
    <w:p w14:paraId="6BCCD841" w14:textId="3E5B63D0" w:rsidR="00DA4DB2" w:rsidRDefault="00DA4DB2" w:rsidP="00CD0B82">
      <w:pPr>
        <w:autoSpaceDE w:val="0"/>
        <w:spacing w:before="120" w:after="0" w:line="276" w:lineRule="auto"/>
        <w:ind w:right="170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Z</w:t>
      </w:r>
      <w:r w:rsidRPr="000C62A9">
        <w:rPr>
          <w:rFonts w:cs="Calibri"/>
          <w:sz w:val="20"/>
          <w:szCs w:val="20"/>
        </w:rPr>
        <w:t xml:space="preserve">godnie z pismem Ministra Finansów z </w:t>
      </w:r>
      <w:r w:rsidRPr="00FC1434">
        <w:rPr>
          <w:rFonts w:cs="Calibri"/>
          <w:sz w:val="20"/>
          <w:szCs w:val="20"/>
        </w:rPr>
        <w:t>dnia 14 października 202</w:t>
      </w:r>
      <w:r w:rsidR="00FC1434" w:rsidRPr="00FC1434">
        <w:rPr>
          <w:rFonts w:cs="Calibri"/>
          <w:sz w:val="20"/>
          <w:szCs w:val="20"/>
        </w:rPr>
        <w:t>5</w:t>
      </w:r>
      <w:r w:rsidRPr="00FC1434">
        <w:rPr>
          <w:rFonts w:cs="Calibri"/>
          <w:sz w:val="20"/>
          <w:szCs w:val="20"/>
        </w:rPr>
        <w:t xml:space="preserve"> nr ST3.4750.</w:t>
      </w:r>
      <w:r w:rsidR="00FC1434" w:rsidRPr="00FC1434">
        <w:rPr>
          <w:rFonts w:cs="Calibri"/>
          <w:sz w:val="20"/>
          <w:szCs w:val="20"/>
        </w:rPr>
        <w:t>26.2025</w:t>
      </w:r>
      <w:r w:rsidRPr="00FC1434">
        <w:rPr>
          <w:rFonts w:cs="Calibri"/>
          <w:sz w:val="20"/>
          <w:szCs w:val="20"/>
        </w:rPr>
        <w:t>,</w:t>
      </w:r>
      <w:r w:rsidRPr="000C62A9">
        <w:rPr>
          <w:rFonts w:cs="Calibri"/>
          <w:sz w:val="20"/>
          <w:szCs w:val="20"/>
        </w:rPr>
        <w:t xml:space="preserve"> w załączniku nr 1 Wieloletniej Prognozy Finansowej</w:t>
      </w:r>
      <w:r>
        <w:rPr>
          <w:rFonts w:cs="Calibri"/>
          <w:sz w:val="20"/>
          <w:szCs w:val="20"/>
        </w:rPr>
        <w:t>,</w:t>
      </w:r>
      <w:r w:rsidRPr="000C62A9">
        <w:rPr>
          <w:rFonts w:cs="Calibri"/>
          <w:sz w:val="20"/>
          <w:szCs w:val="20"/>
        </w:rPr>
        <w:t xml:space="preserve"> w roku 202</w:t>
      </w:r>
      <w:r>
        <w:rPr>
          <w:rFonts w:cs="Calibri"/>
          <w:sz w:val="20"/>
          <w:szCs w:val="20"/>
        </w:rPr>
        <w:t xml:space="preserve">6 </w:t>
      </w:r>
      <w:r w:rsidRPr="000C62A9">
        <w:rPr>
          <w:rFonts w:cs="Calibri"/>
          <w:sz w:val="20"/>
          <w:szCs w:val="20"/>
        </w:rPr>
        <w:t xml:space="preserve">wprowadzono kwoty </w:t>
      </w:r>
      <w:r>
        <w:rPr>
          <w:rFonts w:cs="Calibri"/>
          <w:sz w:val="20"/>
          <w:szCs w:val="20"/>
        </w:rPr>
        <w:t>wskazane w nim z:</w:t>
      </w:r>
    </w:p>
    <w:p w14:paraId="23FCAC42" w14:textId="7D59F9C8" w:rsidR="00DA4DB2" w:rsidRPr="00DA4DB2" w:rsidRDefault="00DA4DB2" w:rsidP="00DA4DB2">
      <w:pPr>
        <w:pStyle w:val="Akapitzlist"/>
        <w:numPr>
          <w:ilvl w:val="0"/>
          <w:numId w:val="8"/>
        </w:numPr>
        <w:spacing w:after="0"/>
        <w:ind w:left="567" w:right="170"/>
        <w:jc w:val="both"/>
        <w:rPr>
          <w:sz w:val="20"/>
          <w:szCs w:val="20"/>
        </w:rPr>
      </w:pPr>
      <w:r w:rsidRPr="00DA4DB2">
        <w:rPr>
          <w:sz w:val="20"/>
          <w:szCs w:val="20"/>
        </w:rPr>
        <w:t xml:space="preserve">dochodów z tytułu udziału we wpływach z podatku dochodowego od osób fizycznych – 42.291.533,00 zł, </w:t>
      </w:r>
    </w:p>
    <w:p w14:paraId="0ADCA495" w14:textId="1A77ADD2" w:rsidR="00DA4DB2" w:rsidRDefault="00DA4DB2" w:rsidP="00DA4DB2">
      <w:pPr>
        <w:pStyle w:val="Akapitzlist"/>
        <w:numPr>
          <w:ilvl w:val="0"/>
          <w:numId w:val="8"/>
        </w:numPr>
        <w:spacing w:after="0"/>
        <w:ind w:left="567" w:right="170"/>
        <w:jc w:val="both"/>
        <w:rPr>
          <w:sz w:val="20"/>
          <w:szCs w:val="20"/>
        </w:rPr>
      </w:pPr>
      <w:r w:rsidRPr="00DA4DB2">
        <w:rPr>
          <w:sz w:val="20"/>
          <w:szCs w:val="20"/>
        </w:rPr>
        <w:t>dochod</w:t>
      </w:r>
      <w:r>
        <w:rPr>
          <w:sz w:val="20"/>
          <w:szCs w:val="20"/>
        </w:rPr>
        <w:t>ów</w:t>
      </w:r>
      <w:r w:rsidRPr="00DA4DB2">
        <w:rPr>
          <w:sz w:val="20"/>
          <w:szCs w:val="20"/>
        </w:rPr>
        <w:t xml:space="preserve"> z tytułu udziału we wpływach z podatku dochodowego od osób prawnych</w:t>
      </w:r>
      <w:r>
        <w:rPr>
          <w:sz w:val="20"/>
          <w:szCs w:val="20"/>
        </w:rPr>
        <w:t xml:space="preserve"> – 2.191.356,00 zł</w:t>
      </w:r>
    </w:p>
    <w:p w14:paraId="4C238440" w14:textId="7860AEA9" w:rsidR="00583130" w:rsidRPr="00DA4DB2" w:rsidRDefault="00DA4DB2" w:rsidP="00DA4DB2">
      <w:pPr>
        <w:pStyle w:val="Akapitzlist"/>
        <w:numPr>
          <w:ilvl w:val="0"/>
          <w:numId w:val="8"/>
        </w:numPr>
        <w:spacing w:after="0"/>
        <w:ind w:left="567" w:right="17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dochodów z </w:t>
      </w:r>
      <w:r w:rsidRPr="00DA4DB2">
        <w:rPr>
          <w:sz w:val="20"/>
          <w:szCs w:val="20"/>
        </w:rPr>
        <w:t xml:space="preserve">subwencji ogólnej </w:t>
      </w:r>
      <w:r>
        <w:rPr>
          <w:sz w:val="20"/>
          <w:szCs w:val="20"/>
        </w:rPr>
        <w:t>– 15.183.321</w:t>
      </w:r>
      <w:r w:rsidR="00FC1434">
        <w:rPr>
          <w:sz w:val="20"/>
          <w:szCs w:val="20"/>
        </w:rPr>
        <w:t>,00</w:t>
      </w:r>
      <w:r>
        <w:rPr>
          <w:sz w:val="20"/>
          <w:szCs w:val="20"/>
        </w:rPr>
        <w:t xml:space="preserve"> zł</w:t>
      </w:r>
      <w:r w:rsidRPr="00DA4DB2">
        <w:rPr>
          <w:sz w:val="20"/>
          <w:szCs w:val="20"/>
        </w:rPr>
        <w:t>.</w:t>
      </w:r>
    </w:p>
    <w:p w14:paraId="4935817D" w14:textId="27278EA6" w:rsidR="00583130" w:rsidRPr="000C62A9" w:rsidRDefault="00A94F7C" w:rsidP="00651D91">
      <w:pPr>
        <w:suppressAutoHyphens w:val="0"/>
        <w:spacing w:before="120" w:after="0" w:line="276" w:lineRule="auto"/>
        <w:jc w:val="both"/>
        <w:textAlignment w:val="auto"/>
        <w:rPr>
          <w:rFonts w:cs="Calibri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 xml:space="preserve">Dotacje na zadania bieżące przyjęte zostały na podstawie informacji </w:t>
      </w:r>
      <w:r w:rsidRPr="000C62A9">
        <w:rPr>
          <w:rFonts w:cs="Calibri"/>
          <w:bCs/>
          <w:sz w:val="20"/>
          <w:szCs w:val="20"/>
        </w:rPr>
        <w:t xml:space="preserve">Wojewody Wielkopolskiego </w:t>
      </w:r>
      <w:r w:rsidRPr="009C48FB">
        <w:rPr>
          <w:rFonts w:cs="Calibri"/>
          <w:bCs/>
          <w:sz w:val="20"/>
          <w:szCs w:val="20"/>
        </w:rPr>
        <w:t>nr FB.I-3110.</w:t>
      </w:r>
      <w:r w:rsidR="009C48FB" w:rsidRPr="009C48FB">
        <w:rPr>
          <w:rFonts w:cs="Calibri"/>
          <w:bCs/>
          <w:sz w:val="20"/>
          <w:szCs w:val="20"/>
        </w:rPr>
        <w:t>8</w:t>
      </w:r>
      <w:r w:rsidRPr="009C48FB">
        <w:rPr>
          <w:rFonts w:cs="Calibri"/>
          <w:bCs/>
          <w:sz w:val="20"/>
          <w:szCs w:val="20"/>
        </w:rPr>
        <w:t>.202</w:t>
      </w:r>
      <w:r w:rsidR="009C48FB" w:rsidRPr="009C48FB">
        <w:rPr>
          <w:rFonts w:cs="Calibri"/>
          <w:bCs/>
          <w:sz w:val="20"/>
          <w:szCs w:val="20"/>
        </w:rPr>
        <w:t>5</w:t>
      </w:r>
      <w:r w:rsidRPr="009C48FB">
        <w:rPr>
          <w:rFonts w:cs="Calibri"/>
          <w:bCs/>
          <w:sz w:val="20"/>
          <w:szCs w:val="20"/>
        </w:rPr>
        <w:t>.2 z dnia 24 października 202</w:t>
      </w:r>
      <w:r w:rsidR="009C48FB" w:rsidRPr="009C48FB">
        <w:rPr>
          <w:rFonts w:cs="Calibri"/>
          <w:bCs/>
          <w:sz w:val="20"/>
          <w:szCs w:val="20"/>
        </w:rPr>
        <w:t>5</w:t>
      </w:r>
      <w:r w:rsidRPr="009C48FB">
        <w:rPr>
          <w:rFonts w:cs="Calibri"/>
          <w:bCs/>
          <w:sz w:val="20"/>
          <w:szCs w:val="20"/>
        </w:rPr>
        <w:t xml:space="preserve"> r. o prognozowanych na 202</w:t>
      </w:r>
      <w:r w:rsidR="009C48FB" w:rsidRPr="009C48FB">
        <w:rPr>
          <w:rFonts w:cs="Calibri"/>
          <w:bCs/>
          <w:sz w:val="20"/>
          <w:szCs w:val="20"/>
        </w:rPr>
        <w:t>6</w:t>
      </w:r>
      <w:r w:rsidRPr="009C48FB">
        <w:rPr>
          <w:rFonts w:cs="Calibri"/>
          <w:bCs/>
          <w:sz w:val="20"/>
          <w:szCs w:val="20"/>
        </w:rPr>
        <w:t xml:space="preserve"> rok dochod</w:t>
      </w:r>
      <w:r w:rsidR="009C48FB" w:rsidRPr="009C48FB">
        <w:rPr>
          <w:rFonts w:cs="Calibri"/>
          <w:bCs/>
          <w:sz w:val="20"/>
          <w:szCs w:val="20"/>
        </w:rPr>
        <w:t xml:space="preserve">ach </w:t>
      </w:r>
      <w:r w:rsidRPr="009C48FB">
        <w:rPr>
          <w:rFonts w:cs="Calibri"/>
          <w:bCs/>
          <w:sz w:val="20"/>
          <w:szCs w:val="20"/>
        </w:rPr>
        <w:t>związanych z realizacją zadań z zakresu administracji rządowej oraz kwotach dotacji</w:t>
      </w:r>
      <w:r w:rsidR="009C48FB" w:rsidRPr="009C48FB">
        <w:rPr>
          <w:rFonts w:cs="Calibri"/>
          <w:bCs/>
          <w:sz w:val="20"/>
          <w:szCs w:val="20"/>
        </w:rPr>
        <w:t xml:space="preserve"> na zadania z zakresu administracji rządowej i dotacji </w:t>
      </w:r>
      <w:r w:rsidRPr="009C48FB">
        <w:rPr>
          <w:rFonts w:cs="Calibri"/>
          <w:bCs/>
          <w:sz w:val="20"/>
          <w:szCs w:val="20"/>
        </w:rPr>
        <w:t xml:space="preserve"> </w:t>
      </w:r>
      <w:r w:rsidR="009C48FB" w:rsidRPr="009C48FB">
        <w:rPr>
          <w:rFonts w:cs="Calibri"/>
          <w:bCs/>
          <w:sz w:val="20"/>
          <w:szCs w:val="20"/>
        </w:rPr>
        <w:t xml:space="preserve"> </w:t>
      </w:r>
      <w:r w:rsidRPr="009C48FB">
        <w:rPr>
          <w:rFonts w:cs="Calibri"/>
          <w:bCs/>
          <w:sz w:val="20"/>
          <w:szCs w:val="20"/>
        </w:rPr>
        <w:t xml:space="preserve">na </w:t>
      </w:r>
      <w:r w:rsidR="009C48FB" w:rsidRPr="009C48FB">
        <w:rPr>
          <w:rFonts w:cs="Calibri"/>
          <w:bCs/>
          <w:sz w:val="20"/>
          <w:szCs w:val="20"/>
        </w:rPr>
        <w:t>realizację zadań własnych</w:t>
      </w:r>
      <w:r w:rsidRPr="009C48FB">
        <w:rPr>
          <w:rFonts w:cs="Calibri"/>
          <w:bCs/>
          <w:sz w:val="20"/>
          <w:szCs w:val="20"/>
        </w:rPr>
        <w:t>.</w:t>
      </w:r>
      <w:r w:rsidRPr="009C48FB">
        <w:rPr>
          <w:rFonts w:cs="Calibri"/>
          <w:kern w:val="0"/>
          <w:sz w:val="20"/>
          <w:szCs w:val="20"/>
        </w:rPr>
        <w:t xml:space="preserve"> Informacja Krajowego Biura Wyborczego </w:t>
      </w:r>
      <w:r w:rsidRPr="009C48FB">
        <w:rPr>
          <w:rFonts w:cs="Calibri"/>
          <w:bCs/>
          <w:sz w:val="20"/>
          <w:szCs w:val="20"/>
        </w:rPr>
        <w:t>Delegatura w Poznaniu nr DPZ</w:t>
      </w:r>
      <w:r w:rsidR="009C48FB" w:rsidRPr="009C48FB">
        <w:rPr>
          <w:rFonts w:cs="Calibri"/>
          <w:bCs/>
          <w:sz w:val="20"/>
          <w:szCs w:val="20"/>
        </w:rPr>
        <w:t>.</w:t>
      </w:r>
      <w:r w:rsidRPr="009C48FB">
        <w:rPr>
          <w:rFonts w:cs="Calibri"/>
          <w:bCs/>
          <w:sz w:val="20"/>
          <w:szCs w:val="20"/>
        </w:rPr>
        <w:t>3113.4.202</w:t>
      </w:r>
      <w:r w:rsidR="009C48FB" w:rsidRPr="009C48FB">
        <w:rPr>
          <w:rFonts w:cs="Calibri"/>
          <w:bCs/>
          <w:sz w:val="20"/>
          <w:szCs w:val="20"/>
        </w:rPr>
        <w:t>5</w:t>
      </w:r>
      <w:r w:rsidRPr="009C48FB">
        <w:rPr>
          <w:rFonts w:cs="Calibri"/>
          <w:bCs/>
          <w:sz w:val="20"/>
          <w:szCs w:val="20"/>
        </w:rPr>
        <w:t xml:space="preserve"> z dnia  22 października 202</w:t>
      </w:r>
      <w:r w:rsidR="009C48FB" w:rsidRPr="009C48FB">
        <w:rPr>
          <w:rFonts w:cs="Calibri"/>
          <w:bCs/>
          <w:sz w:val="20"/>
          <w:szCs w:val="20"/>
        </w:rPr>
        <w:t>5</w:t>
      </w:r>
      <w:r w:rsidRPr="009C48FB">
        <w:rPr>
          <w:rFonts w:cs="Calibri"/>
          <w:bCs/>
          <w:sz w:val="20"/>
          <w:szCs w:val="20"/>
        </w:rPr>
        <w:t xml:space="preserve"> r. p</w:t>
      </w:r>
      <w:r w:rsidR="009C48FB" w:rsidRPr="009C48FB">
        <w:rPr>
          <w:rFonts w:cs="Calibri"/>
          <w:bCs/>
          <w:sz w:val="20"/>
          <w:szCs w:val="20"/>
        </w:rPr>
        <w:t>lanowanej</w:t>
      </w:r>
      <w:r w:rsidRPr="009C48FB">
        <w:rPr>
          <w:rFonts w:cs="Calibri"/>
          <w:bCs/>
          <w:sz w:val="20"/>
          <w:szCs w:val="20"/>
        </w:rPr>
        <w:t xml:space="preserve"> na 202</w:t>
      </w:r>
      <w:r w:rsidR="009C48FB" w:rsidRPr="009C48FB">
        <w:rPr>
          <w:rFonts w:cs="Calibri"/>
          <w:bCs/>
          <w:sz w:val="20"/>
          <w:szCs w:val="20"/>
        </w:rPr>
        <w:t>6</w:t>
      </w:r>
      <w:r w:rsidRPr="009C48FB">
        <w:rPr>
          <w:rFonts w:cs="Calibri"/>
          <w:bCs/>
          <w:sz w:val="20"/>
          <w:szCs w:val="20"/>
        </w:rPr>
        <w:t xml:space="preserve"> r. dotacji</w:t>
      </w:r>
      <w:r w:rsidR="009C48FB" w:rsidRPr="009C48FB">
        <w:rPr>
          <w:rFonts w:cs="Calibri"/>
          <w:bCs/>
          <w:sz w:val="20"/>
          <w:szCs w:val="20"/>
        </w:rPr>
        <w:t xml:space="preserve"> na aktualizację danych zgromadzonych w Centralnym Rejestrze Wyborców</w:t>
      </w:r>
      <w:r w:rsidRPr="009C48FB">
        <w:rPr>
          <w:rFonts w:cs="Calibri"/>
          <w:bCs/>
          <w:sz w:val="20"/>
          <w:szCs w:val="20"/>
        </w:rPr>
        <w:t xml:space="preserve">. </w:t>
      </w:r>
      <w:r w:rsidRPr="009C48FB">
        <w:rPr>
          <w:rFonts w:cs="Calibri"/>
          <w:kern w:val="0"/>
          <w:sz w:val="20"/>
          <w:szCs w:val="20"/>
        </w:rPr>
        <w:t>W projekcjach finansowych uwzględniono</w:t>
      </w:r>
      <w:r w:rsidR="00651D91" w:rsidRPr="009C48FB">
        <w:rPr>
          <w:rFonts w:cs="Calibri"/>
          <w:kern w:val="0"/>
          <w:sz w:val="20"/>
          <w:szCs w:val="20"/>
        </w:rPr>
        <w:t xml:space="preserve"> tylko</w:t>
      </w:r>
      <w:r w:rsidRPr="009C48FB">
        <w:rPr>
          <w:rFonts w:cs="Calibri"/>
          <w:kern w:val="0"/>
          <w:sz w:val="20"/>
          <w:szCs w:val="20"/>
        </w:rPr>
        <w:t xml:space="preserve"> kwoty dotacj</w:t>
      </w:r>
      <w:r w:rsidR="00651D91" w:rsidRPr="009C48FB">
        <w:rPr>
          <w:rFonts w:cs="Calibri"/>
          <w:kern w:val="0"/>
          <w:sz w:val="20"/>
          <w:szCs w:val="20"/>
        </w:rPr>
        <w:t>i</w:t>
      </w:r>
      <w:r w:rsidRPr="009C48FB">
        <w:rPr>
          <w:rFonts w:cs="Calibri"/>
          <w:kern w:val="0"/>
          <w:sz w:val="20"/>
          <w:szCs w:val="20"/>
        </w:rPr>
        <w:t>, których wielkość została potwierdzona na etapie sporządzania projektu WPF na lata 202</w:t>
      </w:r>
      <w:r w:rsidR="00651D91" w:rsidRPr="009C48FB">
        <w:rPr>
          <w:rFonts w:cs="Calibri"/>
          <w:kern w:val="0"/>
          <w:sz w:val="20"/>
          <w:szCs w:val="20"/>
        </w:rPr>
        <w:t>6-</w:t>
      </w:r>
      <w:r w:rsidRPr="009C48FB">
        <w:rPr>
          <w:rFonts w:cs="Calibri"/>
          <w:kern w:val="0"/>
          <w:sz w:val="20"/>
          <w:szCs w:val="20"/>
        </w:rPr>
        <w:t>2029.</w:t>
      </w:r>
    </w:p>
    <w:p w14:paraId="24B56357" w14:textId="77B6E9DB" w:rsidR="00583130" w:rsidRPr="000C62A9" w:rsidRDefault="00A94F7C" w:rsidP="00651D91">
      <w:pPr>
        <w:tabs>
          <w:tab w:val="left" w:pos="6"/>
        </w:tabs>
        <w:autoSpaceDE w:val="0"/>
        <w:spacing w:after="120" w:line="276" w:lineRule="auto"/>
        <w:ind w:left="6"/>
        <w:jc w:val="both"/>
        <w:rPr>
          <w:rFonts w:cs="Calibri"/>
          <w:kern w:val="0"/>
          <w:sz w:val="20"/>
          <w:szCs w:val="20"/>
        </w:rPr>
      </w:pPr>
      <w:r w:rsidRPr="006F4C3E">
        <w:rPr>
          <w:rFonts w:cs="Calibri"/>
          <w:kern w:val="0"/>
          <w:sz w:val="20"/>
          <w:szCs w:val="20"/>
        </w:rPr>
        <w:t>Planowany na 202</w:t>
      </w:r>
      <w:r w:rsidR="00651D91" w:rsidRPr="006F4C3E">
        <w:rPr>
          <w:rFonts w:cs="Calibri"/>
          <w:kern w:val="0"/>
          <w:sz w:val="20"/>
          <w:szCs w:val="20"/>
        </w:rPr>
        <w:t>6</w:t>
      </w:r>
      <w:r w:rsidRPr="006F4C3E">
        <w:rPr>
          <w:rFonts w:cs="Calibri"/>
          <w:kern w:val="0"/>
          <w:sz w:val="20"/>
          <w:szCs w:val="20"/>
        </w:rPr>
        <w:t xml:space="preserve"> r. wzrost wpływów z podatków lokalnych oszacowany został przy założeniu </w:t>
      </w:r>
      <w:r w:rsidR="006F4C3E" w:rsidRPr="006F4C3E">
        <w:rPr>
          <w:rFonts w:cs="Calibri"/>
          <w:kern w:val="0"/>
          <w:sz w:val="20"/>
          <w:szCs w:val="20"/>
        </w:rPr>
        <w:t>5</w:t>
      </w:r>
      <w:r w:rsidRPr="006F4C3E">
        <w:rPr>
          <w:rFonts w:cs="Calibri"/>
          <w:kern w:val="0"/>
          <w:sz w:val="20"/>
          <w:szCs w:val="20"/>
        </w:rPr>
        <w:t>% wzrostu ich stawek i nie obniżaniu ceny skupu żyta i drewna w zakresie naliczenia podatku rolnego i leśnego.</w:t>
      </w:r>
    </w:p>
    <w:p w14:paraId="5DB0CCA8" w14:textId="77777777" w:rsidR="00583130" w:rsidRPr="000C62A9" w:rsidRDefault="00A94F7C">
      <w:pPr>
        <w:keepNext/>
        <w:keepLines/>
        <w:autoSpaceDE w:val="0"/>
        <w:spacing w:after="0" w:line="276" w:lineRule="auto"/>
        <w:ind w:right="102"/>
        <w:jc w:val="both"/>
        <w:rPr>
          <w:rFonts w:cs="Calibri"/>
          <w:b/>
          <w:bCs/>
          <w:kern w:val="0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 xml:space="preserve">DOCHODY MAJĄTKOWE </w:t>
      </w:r>
    </w:p>
    <w:p w14:paraId="62A830E1" w14:textId="77777777" w:rsidR="00583130" w:rsidRPr="000C62A9" w:rsidRDefault="00A94F7C">
      <w:pPr>
        <w:suppressAutoHyphens w:val="0"/>
        <w:autoSpaceDE w:val="0"/>
        <w:spacing w:after="0" w:line="276" w:lineRule="auto"/>
        <w:jc w:val="both"/>
        <w:textAlignment w:val="auto"/>
        <w:rPr>
          <w:rFonts w:eastAsia="Times New Roman" w:cs="Calibri"/>
          <w:kern w:val="0"/>
          <w:sz w:val="20"/>
          <w:szCs w:val="20"/>
          <w:lang w:eastAsia="pl-PL"/>
        </w:rPr>
      </w:pPr>
      <w:r w:rsidRPr="000C62A9">
        <w:rPr>
          <w:rFonts w:eastAsia="Times New Roman" w:cs="Calibri"/>
          <w:kern w:val="0"/>
          <w:sz w:val="20"/>
          <w:szCs w:val="20"/>
          <w:lang w:eastAsia="pl-PL"/>
        </w:rPr>
        <w:t>Waloryzacji o wskaźniki makroekonomiczne nie poddano dochodów o charakterze majątkowym. Dochody majątkowe, w tym przede wszystkim dochody ze sprzedaży majątku pozbawione są regularności, a ich poziom uzależniony jest od czynników niezależnych, jak np. koniunktura na rynku nieruchomości.</w:t>
      </w:r>
    </w:p>
    <w:p w14:paraId="69681E7F" w14:textId="12E2FCB0" w:rsidR="00583130" w:rsidRPr="002610C7" w:rsidRDefault="00A94F7C">
      <w:pPr>
        <w:suppressAutoHyphens w:val="0"/>
        <w:autoSpaceDE w:val="0"/>
        <w:spacing w:after="0" w:line="276" w:lineRule="auto"/>
        <w:jc w:val="both"/>
        <w:textAlignment w:val="auto"/>
        <w:rPr>
          <w:rFonts w:eastAsia="Times New Roman" w:cs="Calibri"/>
          <w:kern w:val="0"/>
          <w:sz w:val="20"/>
          <w:szCs w:val="20"/>
          <w:lang w:eastAsia="pl-PL"/>
        </w:rPr>
      </w:pPr>
      <w:r w:rsidRPr="000C62A9">
        <w:rPr>
          <w:rFonts w:eastAsia="Times New Roman" w:cs="Calibri"/>
          <w:kern w:val="0"/>
          <w:sz w:val="20"/>
          <w:szCs w:val="20"/>
          <w:lang w:eastAsia="pl-PL"/>
        </w:rPr>
        <w:t>W 202</w:t>
      </w:r>
      <w:r w:rsidR="00651D91">
        <w:rPr>
          <w:rFonts w:eastAsia="Times New Roman" w:cs="Calibri"/>
          <w:kern w:val="0"/>
          <w:sz w:val="20"/>
          <w:szCs w:val="20"/>
          <w:lang w:eastAsia="pl-PL"/>
        </w:rPr>
        <w:t>6</w:t>
      </w:r>
      <w:r w:rsidRPr="000C62A9">
        <w:rPr>
          <w:rFonts w:eastAsia="Times New Roman" w:cs="Calibri"/>
          <w:kern w:val="0"/>
          <w:sz w:val="20"/>
          <w:szCs w:val="20"/>
          <w:lang w:eastAsia="pl-PL"/>
        </w:rPr>
        <w:t xml:space="preserve"> roku dochody ze sprzedaży majątku zaplanowano na poziomie </w:t>
      </w:r>
      <w:r w:rsidR="00651D91">
        <w:rPr>
          <w:rFonts w:eastAsia="Times New Roman" w:cs="Calibri"/>
          <w:kern w:val="0"/>
          <w:sz w:val="20"/>
          <w:szCs w:val="20"/>
          <w:lang w:eastAsia="pl-PL"/>
        </w:rPr>
        <w:t>650.000</w:t>
      </w:r>
      <w:r w:rsidRPr="000C62A9">
        <w:rPr>
          <w:rFonts w:eastAsia="Times New Roman" w:cs="Calibri"/>
          <w:kern w:val="0"/>
          <w:sz w:val="20"/>
          <w:szCs w:val="20"/>
          <w:lang w:eastAsia="pl-PL"/>
        </w:rPr>
        <w:t xml:space="preserve">,00 zł. Bazując na informacjach o </w:t>
      </w:r>
      <w:r w:rsidRPr="002610C7">
        <w:rPr>
          <w:rFonts w:eastAsia="Times New Roman" w:cs="Calibri"/>
          <w:kern w:val="0"/>
          <w:sz w:val="20"/>
          <w:szCs w:val="20"/>
          <w:lang w:eastAsia="pl-PL"/>
        </w:rPr>
        <w:t>wykonaniu dochodów majątkowych w poprzednich latach, należy stwierdzić, że zaplanowana kwota jest realna, ryzyko ich niewykonania jest minimalne, a sama sprzedaż mienia została zaplanowana przy dochowaniu najwyższej staranności. Wartość zaplanowanych w 202</w:t>
      </w:r>
      <w:r w:rsidR="00651D91" w:rsidRPr="002610C7">
        <w:rPr>
          <w:rFonts w:eastAsia="Times New Roman" w:cs="Calibri"/>
          <w:kern w:val="0"/>
          <w:sz w:val="20"/>
          <w:szCs w:val="20"/>
          <w:lang w:eastAsia="pl-PL"/>
        </w:rPr>
        <w:t>6</w:t>
      </w:r>
      <w:r w:rsidRPr="002610C7">
        <w:rPr>
          <w:rFonts w:eastAsia="Times New Roman" w:cs="Calibri"/>
          <w:kern w:val="0"/>
          <w:sz w:val="20"/>
          <w:szCs w:val="20"/>
          <w:lang w:eastAsia="pl-PL"/>
        </w:rPr>
        <w:t xml:space="preserve"> roku dochodów ze sprzedaży ma zapewnić sprzedaż nieruchomości, których wykaz zaprezentowano poniżej:</w:t>
      </w:r>
    </w:p>
    <w:p w14:paraId="1DE1D6DB" w14:textId="0CBA6516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>Gnin, działka nr 337/8 o pow. 1 267 m², zabudowana budynkiem dawnej szkoły,</w:t>
      </w:r>
    </w:p>
    <w:p w14:paraId="024D9AA7" w14:textId="1540270C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proofErr w:type="spellStart"/>
      <w:r w:rsidRPr="002610C7">
        <w:rPr>
          <w:rFonts w:ascii="Calibri" w:hAnsi="Calibri" w:cs="Calibri"/>
          <w:sz w:val="20"/>
          <w:szCs w:val="20"/>
        </w:rPr>
        <w:t>Blinek</w:t>
      </w:r>
      <w:proofErr w:type="spellEnd"/>
      <w:r w:rsidRPr="002610C7">
        <w:rPr>
          <w:rFonts w:ascii="Calibri" w:hAnsi="Calibri" w:cs="Calibri"/>
          <w:sz w:val="20"/>
          <w:szCs w:val="20"/>
        </w:rPr>
        <w:t xml:space="preserve">, działka nr 89/3  o pow. 1 200 m² (brak dostępu do drogi publicznej), </w:t>
      </w:r>
    </w:p>
    <w:p w14:paraId="0EB7D1FC" w14:textId="3A2FD407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>Głodno, działka nr 9/4 o pow. 1 483 m² (DWZ),</w:t>
      </w:r>
    </w:p>
    <w:p w14:paraId="72509D47" w14:textId="6062D0B6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>Wioska, działka nr 155/8 o pow. 831 m² (dla działki zlecono wydanie DWZ),</w:t>
      </w:r>
    </w:p>
    <w:p w14:paraId="159B7AE3" w14:textId="27E8E6A7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 xml:space="preserve">Wioska, działka nr 155/9 o pow. 808 m² (dla działki zlecono wydanie DWZ), </w:t>
      </w:r>
    </w:p>
    <w:p w14:paraId="7EE52B7A" w14:textId="3D0E34EB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>Wioska, działka nr 155/10 o pow. 805 m² (dla działki zlecono wydanie DWZ),</w:t>
      </w:r>
    </w:p>
    <w:p w14:paraId="477B5FA5" w14:textId="1961A0B3" w:rsidR="002610C7" w:rsidRPr="002610C7" w:rsidRDefault="002610C7" w:rsidP="002610C7">
      <w:pPr>
        <w:pStyle w:val="ListParagraph"/>
        <w:numPr>
          <w:ilvl w:val="0"/>
          <w:numId w:val="9"/>
        </w:numPr>
        <w:spacing w:after="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lastRenderedPageBreak/>
        <w:t>Rakoniewice, działka nr 46 o pow. 3 389 m² (DWZ).</w:t>
      </w:r>
    </w:p>
    <w:p w14:paraId="07190300" w14:textId="77777777" w:rsidR="002610C7" w:rsidRPr="002610C7" w:rsidRDefault="002610C7" w:rsidP="002610C7">
      <w:pPr>
        <w:pStyle w:val="ListParagraph"/>
        <w:spacing w:after="0"/>
        <w:ind w:left="360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  <w:u w:val="single"/>
        </w:rPr>
        <w:t>Ewentualnie</w:t>
      </w:r>
      <w:r w:rsidRPr="002610C7">
        <w:rPr>
          <w:rFonts w:ascii="Calibri" w:hAnsi="Calibri" w:cs="Calibri"/>
          <w:sz w:val="20"/>
          <w:szCs w:val="20"/>
        </w:rPr>
        <w:t xml:space="preserve"> do sprzedaży mogą zostać przeznaczone również:</w:t>
      </w:r>
    </w:p>
    <w:p w14:paraId="4B10279B" w14:textId="77777777" w:rsidR="002610C7" w:rsidRPr="002610C7" w:rsidRDefault="002610C7" w:rsidP="002610C7">
      <w:pPr>
        <w:pStyle w:val="ListParagraph"/>
        <w:numPr>
          <w:ilvl w:val="0"/>
          <w:numId w:val="10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 xml:space="preserve">tereny aktywizacji gospodarczej w Rakoniewicach (ul. </w:t>
      </w:r>
      <w:proofErr w:type="spellStart"/>
      <w:r w:rsidRPr="002610C7">
        <w:rPr>
          <w:rFonts w:ascii="Calibri" w:hAnsi="Calibri" w:cs="Calibri"/>
          <w:sz w:val="20"/>
          <w:szCs w:val="20"/>
        </w:rPr>
        <w:t>Francuszkiewicza</w:t>
      </w:r>
      <w:proofErr w:type="spellEnd"/>
      <w:r w:rsidRPr="002610C7">
        <w:rPr>
          <w:rFonts w:ascii="Calibri" w:hAnsi="Calibri" w:cs="Calibri"/>
          <w:sz w:val="20"/>
          <w:szCs w:val="20"/>
        </w:rPr>
        <w:t>),</w:t>
      </w:r>
    </w:p>
    <w:p w14:paraId="3C49D547" w14:textId="77777777" w:rsidR="002610C7" w:rsidRPr="002610C7" w:rsidRDefault="002610C7" w:rsidP="002610C7">
      <w:pPr>
        <w:pStyle w:val="ListParagraph"/>
        <w:numPr>
          <w:ilvl w:val="0"/>
          <w:numId w:val="10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 xml:space="preserve">tereny zabudowy mieszkaniowej na Osiedlu Wygoda w Rakoniewicach, </w:t>
      </w:r>
    </w:p>
    <w:p w14:paraId="1D9191DD" w14:textId="77777777" w:rsidR="002610C7" w:rsidRPr="002610C7" w:rsidRDefault="002610C7" w:rsidP="002610C7">
      <w:pPr>
        <w:pStyle w:val="ListParagraph"/>
        <w:numPr>
          <w:ilvl w:val="0"/>
          <w:numId w:val="10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 xml:space="preserve">działka 122/5 oraz część działki nr 123, obręb Łąkie (sprzedaż warunkuje poprzedzające ją wykonanie podziału działki nr 123 oraz wydanie DWZ), </w:t>
      </w:r>
    </w:p>
    <w:p w14:paraId="24996DD4" w14:textId="1EC5992A" w:rsidR="002610C7" w:rsidRPr="002610C7" w:rsidRDefault="002610C7" w:rsidP="002610C7">
      <w:pPr>
        <w:pStyle w:val="ListParagraph"/>
        <w:numPr>
          <w:ilvl w:val="0"/>
          <w:numId w:val="10"/>
        </w:numPr>
        <w:spacing w:after="0"/>
        <w:ind w:left="709"/>
        <w:jc w:val="both"/>
        <w:rPr>
          <w:rFonts w:ascii="Calibri" w:hAnsi="Calibri" w:cs="Calibri"/>
          <w:sz w:val="20"/>
          <w:szCs w:val="20"/>
        </w:rPr>
      </w:pPr>
      <w:r w:rsidRPr="002610C7">
        <w:rPr>
          <w:rFonts w:ascii="Calibri" w:hAnsi="Calibri" w:cs="Calibri"/>
          <w:sz w:val="20"/>
          <w:szCs w:val="20"/>
        </w:rPr>
        <w:t xml:space="preserve">działki 244/5, 244/6, 244/7 oraz działki 196, obręb Wioska (sprzedaż warunkuje uprzednie uzyskanie pozytywnej decyzji </w:t>
      </w:r>
      <w:proofErr w:type="spellStart"/>
      <w:r w:rsidRPr="002610C7">
        <w:rPr>
          <w:rFonts w:ascii="Calibri" w:hAnsi="Calibri" w:cs="Calibri"/>
          <w:sz w:val="20"/>
          <w:szCs w:val="20"/>
        </w:rPr>
        <w:t>komunalizacyjnej</w:t>
      </w:r>
      <w:proofErr w:type="spellEnd"/>
      <w:r w:rsidRPr="002610C7">
        <w:rPr>
          <w:rFonts w:ascii="Calibri" w:hAnsi="Calibri" w:cs="Calibri"/>
          <w:sz w:val="20"/>
          <w:szCs w:val="20"/>
        </w:rPr>
        <w:t xml:space="preserve"> dla działki 196, obręb Wioska).  </w:t>
      </w:r>
    </w:p>
    <w:p w14:paraId="6776EBC5" w14:textId="77777777" w:rsidR="002610C7" w:rsidRPr="002610C7" w:rsidRDefault="002610C7" w:rsidP="002610C7">
      <w:pPr>
        <w:tabs>
          <w:tab w:val="left" w:pos="284"/>
        </w:tabs>
        <w:spacing w:after="0"/>
        <w:jc w:val="both"/>
        <w:textAlignment w:val="auto"/>
        <w:rPr>
          <w:rFonts w:cs="Calibri"/>
          <w:bCs/>
          <w:sz w:val="20"/>
          <w:szCs w:val="20"/>
          <w:u w:val="single"/>
        </w:rPr>
      </w:pPr>
      <w:r w:rsidRPr="002610C7">
        <w:rPr>
          <w:rFonts w:cs="Calibri"/>
          <w:bCs/>
          <w:sz w:val="20"/>
          <w:szCs w:val="20"/>
          <w:u w:val="single"/>
        </w:rPr>
        <w:t>Lokale mieszkalne:</w:t>
      </w:r>
    </w:p>
    <w:p w14:paraId="4BA65291" w14:textId="77777777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 xml:space="preserve">lokal mieszkalny nr 7 w budynku 4 przy Placu Powstańców Wielkopolskich w Rakoniewicach, </w:t>
      </w:r>
    </w:p>
    <w:p w14:paraId="43E59E34" w14:textId="77777777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>lokal mieszkalny Rakoniewice, ul. Grodziska 33/2,</w:t>
      </w:r>
    </w:p>
    <w:p w14:paraId="2A8730FE" w14:textId="77777777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>lokal mieszkalny Rakoniewice, ul. Nowotomyska 2/6,</w:t>
      </w:r>
    </w:p>
    <w:p w14:paraId="1DF95FB5" w14:textId="77777777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>lokal mieszkalny Rakoniewice, Plac Powstańców Wielkopolskich 13/3,</w:t>
      </w:r>
    </w:p>
    <w:p w14:paraId="3AA102AB" w14:textId="77777777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>lokal mieszkalny Rakoniewice, ul. Krystyny 34/2,</w:t>
      </w:r>
    </w:p>
    <w:p w14:paraId="693307C2" w14:textId="77777777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>lokal mieszkalny Rakoniewice, ul. Pocztowa 28/7 i 28/8,</w:t>
      </w:r>
    </w:p>
    <w:p w14:paraId="22D66560" w14:textId="1F285434" w:rsidR="002610C7" w:rsidRPr="002610C7" w:rsidRDefault="002610C7" w:rsidP="002610C7">
      <w:pPr>
        <w:pStyle w:val="Akapitzlist"/>
        <w:numPr>
          <w:ilvl w:val="0"/>
          <w:numId w:val="12"/>
        </w:numPr>
        <w:tabs>
          <w:tab w:val="left" w:pos="284"/>
        </w:tabs>
        <w:spacing w:after="0"/>
        <w:ind w:left="709" w:hanging="425"/>
        <w:jc w:val="both"/>
        <w:textAlignment w:val="auto"/>
        <w:rPr>
          <w:sz w:val="20"/>
          <w:szCs w:val="20"/>
        </w:rPr>
      </w:pPr>
      <w:r w:rsidRPr="002610C7">
        <w:rPr>
          <w:sz w:val="20"/>
          <w:szCs w:val="20"/>
        </w:rPr>
        <w:t>lokal mieszkalny Elżbieciny 34B, nieruchomość zabudowana (dwa lokale, w tym jeden na poddaszu).</w:t>
      </w:r>
    </w:p>
    <w:p w14:paraId="34B4156C" w14:textId="53B411D9" w:rsidR="00583130" w:rsidRPr="002610C7" w:rsidRDefault="00A94F7C" w:rsidP="00651D91">
      <w:pPr>
        <w:tabs>
          <w:tab w:val="left" w:pos="284"/>
          <w:tab w:val="left" w:pos="426"/>
        </w:tabs>
        <w:autoSpaceDE w:val="0"/>
        <w:spacing w:before="120" w:after="0" w:line="276" w:lineRule="auto"/>
        <w:ind w:right="45"/>
        <w:jc w:val="both"/>
        <w:rPr>
          <w:rFonts w:cs="Calibri"/>
          <w:kern w:val="0"/>
          <w:sz w:val="20"/>
          <w:szCs w:val="20"/>
        </w:rPr>
      </w:pPr>
      <w:r w:rsidRPr="002610C7">
        <w:rPr>
          <w:rFonts w:cs="Calibri"/>
          <w:kern w:val="0"/>
          <w:sz w:val="20"/>
          <w:szCs w:val="20"/>
        </w:rPr>
        <w:t>W 202</w:t>
      </w:r>
      <w:r w:rsidR="00651D91" w:rsidRPr="002610C7">
        <w:rPr>
          <w:rFonts w:cs="Calibri"/>
          <w:kern w:val="0"/>
          <w:sz w:val="20"/>
          <w:szCs w:val="20"/>
        </w:rPr>
        <w:t>6</w:t>
      </w:r>
      <w:r w:rsidRPr="002610C7">
        <w:rPr>
          <w:rFonts w:cs="Calibri"/>
          <w:kern w:val="0"/>
          <w:sz w:val="20"/>
          <w:szCs w:val="20"/>
        </w:rPr>
        <w:t xml:space="preserve"> roku, planuje się ponadto kwotę 7.</w:t>
      </w:r>
      <w:r w:rsidR="00651D91" w:rsidRPr="002610C7">
        <w:rPr>
          <w:rFonts w:cs="Calibri"/>
          <w:kern w:val="0"/>
          <w:sz w:val="20"/>
          <w:szCs w:val="20"/>
        </w:rPr>
        <w:t>0</w:t>
      </w:r>
      <w:r w:rsidRPr="002610C7">
        <w:rPr>
          <w:rFonts w:cs="Calibri"/>
          <w:kern w:val="0"/>
          <w:sz w:val="20"/>
          <w:szCs w:val="20"/>
        </w:rPr>
        <w:t>00,00 zł z tytułu przekształcenia prawa użytkowania wieczystego w prawo własności.</w:t>
      </w:r>
    </w:p>
    <w:p w14:paraId="4462C9E1" w14:textId="765C9B99" w:rsidR="00583130" w:rsidRPr="000C62A9" w:rsidRDefault="00A94F7C" w:rsidP="00EA51B2">
      <w:pPr>
        <w:tabs>
          <w:tab w:val="left" w:pos="360"/>
        </w:tabs>
        <w:autoSpaceDE w:val="0"/>
        <w:spacing w:before="120" w:after="0" w:line="276" w:lineRule="auto"/>
        <w:ind w:right="45"/>
        <w:jc w:val="both"/>
        <w:rPr>
          <w:rFonts w:cs="Calibri"/>
          <w:kern w:val="0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>W 20</w:t>
      </w:r>
      <w:r w:rsidR="00651D91">
        <w:rPr>
          <w:rFonts w:cs="Calibri"/>
          <w:kern w:val="0"/>
          <w:sz w:val="20"/>
          <w:szCs w:val="20"/>
        </w:rPr>
        <w:t>26</w:t>
      </w:r>
      <w:r w:rsidRPr="000C62A9">
        <w:rPr>
          <w:rFonts w:cs="Calibri"/>
          <w:kern w:val="0"/>
          <w:sz w:val="20"/>
          <w:szCs w:val="20"/>
        </w:rPr>
        <w:t xml:space="preserve"> roku uwzględniono dotacje na zadania inwestycyjne w kwocie </w:t>
      </w:r>
      <w:r w:rsidR="00651D91">
        <w:rPr>
          <w:rFonts w:cs="Calibri"/>
          <w:kern w:val="0"/>
          <w:sz w:val="20"/>
          <w:szCs w:val="20"/>
        </w:rPr>
        <w:t>1.796.400</w:t>
      </w:r>
      <w:r w:rsidR="002610C7">
        <w:rPr>
          <w:rFonts w:cs="Calibri"/>
          <w:kern w:val="0"/>
          <w:sz w:val="20"/>
          <w:szCs w:val="20"/>
        </w:rPr>
        <w:t>,00</w:t>
      </w:r>
      <w:r w:rsidRPr="000C62A9">
        <w:rPr>
          <w:rFonts w:cs="Calibri"/>
          <w:kern w:val="0"/>
          <w:sz w:val="20"/>
          <w:szCs w:val="20"/>
        </w:rPr>
        <w:t xml:space="preserve"> zł. Są to środki pochodzące </w:t>
      </w:r>
      <w:r w:rsidR="00EA51B2" w:rsidRPr="002610C7">
        <w:rPr>
          <w:rFonts w:cs="Calibri"/>
          <w:kern w:val="0"/>
          <w:sz w:val="20"/>
          <w:szCs w:val="20"/>
        </w:rPr>
        <w:t xml:space="preserve">ze środków otrzymanych z </w:t>
      </w:r>
      <w:r w:rsidR="00EA51B2" w:rsidRPr="002610C7">
        <w:rPr>
          <w:rFonts w:cs="Calibri"/>
          <w:b/>
          <w:bCs/>
          <w:sz w:val="20"/>
          <w:szCs w:val="20"/>
        </w:rPr>
        <w:t>Ministerstwa Sportu i Turystyki ze środków Funduszu Rozwoju Kultury Fizycznej</w:t>
      </w:r>
      <w:r w:rsidR="00EA51B2" w:rsidRPr="002610C7">
        <w:rPr>
          <w:rFonts w:cs="Calibri"/>
          <w:b/>
          <w:bCs/>
          <w:kern w:val="0"/>
          <w:sz w:val="20"/>
          <w:szCs w:val="20"/>
        </w:rPr>
        <w:t xml:space="preserve"> w kwocie,</w:t>
      </w:r>
      <w:r w:rsidRPr="002610C7">
        <w:rPr>
          <w:rFonts w:cs="Calibri"/>
          <w:kern w:val="0"/>
          <w:sz w:val="20"/>
          <w:szCs w:val="20"/>
        </w:rPr>
        <w:t xml:space="preserve"> z przeznaczeniem na</w:t>
      </w:r>
      <w:r w:rsidR="00651D91">
        <w:rPr>
          <w:rFonts w:cs="Calibri"/>
          <w:kern w:val="0"/>
          <w:sz w:val="20"/>
          <w:szCs w:val="20"/>
        </w:rPr>
        <w:t xml:space="preserve"> zadanie „</w:t>
      </w:r>
      <w:r w:rsidR="00651D91" w:rsidRPr="00651D91">
        <w:rPr>
          <w:rFonts w:cs="Calibri"/>
          <w:kern w:val="0"/>
          <w:sz w:val="20"/>
          <w:szCs w:val="20"/>
        </w:rPr>
        <w:t>Budowa kompleksu sportowego Orlik 2024 wraz z budową sprawnościowego placu zabaw w miejscowości Rostarzewo</w:t>
      </w:r>
      <w:r w:rsidR="00EA51B2">
        <w:rPr>
          <w:rFonts w:cs="Calibri"/>
          <w:kern w:val="0"/>
          <w:sz w:val="20"/>
          <w:szCs w:val="20"/>
        </w:rPr>
        <w:t>”.</w:t>
      </w:r>
      <w:r w:rsidRPr="000C62A9">
        <w:rPr>
          <w:rFonts w:cs="Calibri"/>
          <w:kern w:val="0"/>
          <w:sz w:val="20"/>
          <w:szCs w:val="20"/>
        </w:rPr>
        <w:t xml:space="preserve"> </w:t>
      </w:r>
    </w:p>
    <w:p w14:paraId="7C8B3391" w14:textId="77777777" w:rsidR="00583130" w:rsidRPr="000C62A9" w:rsidRDefault="00A94F7C" w:rsidP="00EA51B2">
      <w:pPr>
        <w:keepNext/>
        <w:keepLines/>
        <w:autoSpaceDE w:val="0"/>
        <w:spacing w:before="120" w:after="0" w:line="276" w:lineRule="auto"/>
        <w:ind w:right="102"/>
        <w:jc w:val="both"/>
        <w:rPr>
          <w:rFonts w:cs="Calibri"/>
          <w:b/>
          <w:bCs/>
          <w:kern w:val="0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 xml:space="preserve">II. WYDATKI </w:t>
      </w:r>
    </w:p>
    <w:p w14:paraId="3B2EB17B" w14:textId="77777777" w:rsidR="00583130" w:rsidRPr="000C62A9" w:rsidRDefault="00A94F7C" w:rsidP="00EA51B2">
      <w:pPr>
        <w:keepNext/>
        <w:keepLines/>
        <w:autoSpaceDE w:val="0"/>
        <w:spacing w:before="120" w:after="0" w:line="276" w:lineRule="auto"/>
        <w:ind w:right="102"/>
        <w:jc w:val="both"/>
        <w:rPr>
          <w:rFonts w:cs="Calibri"/>
          <w:b/>
          <w:bCs/>
          <w:kern w:val="0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 xml:space="preserve">WYDATKI BIEŻĄCE </w:t>
      </w:r>
    </w:p>
    <w:p w14:paraId="095B8F76" w14:textId="250C58F3" w:rsidR="00583130" w:rsidRPr="000C62A9" w:rsidRDefault="00A94F7C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t xml:space="preserve">Nowa ustawa o dochodach JST nie gwarantuje </w:t>
      </w:r>
      <w:r w:rsidR="00EA51B2">
        <w:rPr>
          <w:rFonts w:cs="Calibri"/>
          <w:sz w:val="20"/>
          <w:szCs w:val="20"/>
        </w:rPr>
        <w:t>po</w:t>
      </w:r>
      <w:r w:rsidRPr="000C62A9">
        <w:rPr>
          <w:rFonts w:cs="Calibri"/>
          <w:sz w:val="20"/>
          <w:szCs w:val="20"/>
        </w:rPr>
        <w:t xml:space="preserve"> 202</w:t>
      </w:r>
      <w:r w:rsidR="00EA51B2">
        <w:rPr>
          <w:rFonts w:cs="Calibri"/>
          <w:sz w:val="20"/>
          <w:szCs w:val="20"/>
        </w:rPr>
        <w:t>6</w:t>
      </w:r>
      <w:r w:rsidRPr="000C62A9">
        <w:rPr>
          <w:rFonts w:cs="Calibri"/>
          <w:sz w:val="20"/>
          <w:szCs w:val="20"/>
        </w:rPr>
        <w:t xml:space="preserve"> roku w zakresie podstawowych pozycji dochodów JST wzrostu większego, niż wynikającego z podstawowych wskaźników makroekonomicznych, jak zatrudnienie, wzrost płac, PKB, czy inflacja. Niepewność co do długoterminowych skutków nowego systemu dochodów JST w przyszłości, wymusza ostrożność planowania po stronie wydatków.</w:t>
      </w:r>
    </w:p>
    <w:p w14:paraId="189B48D5" w14:textId="77777777" w:rsidR="00583130" w:rsidRPr="000C62A9" w:rsidRDefault="00A94F7C" w:rsidP="00EA51B2">
      <w:pPr>
        <w:spacing w:before="120" w:after="0" w:line="276" w:lineRule="auto"/>
        <w:ind w:hanging="11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t xml:space="preserve">Wydatki bieżące zgodnie z układem Wieloletniej Prognozy Finansowej podzielono zasadniczo na dwie grupy: te związane z wynagrodzeniami oraz pozostałe, w tym rzeczowe. </w:t>
      </w:r>
    </w:p>
    <w:p w14:paraId="1845D83E" w14:textId="77777777" w:rsidR="00583130" w:rsidRPr="000C62A9" w:rsidRDefault="00A94F7C" w:rsidP="00EA51B2">
      <w:pPr>
        <w:spacing w:before="120" w:after="0" w:line="276" w:lineRule="auto"/>
        <w:ind w:hanging="11"/>
        <w:jc w:val="both"/>
        <w:rPr>
          <w:rFonts w:cs="Calibri"/>
          <w:sz w:val="20"/>
          <w:szCs w:val="20"/>
        </w:rPr>
      </w:pPr>
      <w:r w:rsidRPr="000C62A9">
        <w:rPr>
          <w:rFonts w:cs="Calibri"/>
          <w:sz w:val="20"/>
          <w:szCs w:val="20"/>
        </w:rPr>
        <w:t>Przyjęto dla nich następujące założenia:</w:t>
      </w:r>
    </w:p>
    <w:p w14:paraId="29F592DA" w14:textId="48F06199" w:rsidR="00EA51B2" w:rsidRDefault="007C0C81">
      <w:pPr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eastAsia="Times New Roman" w:cs="Calibri"/>
          <w:kern w:val="0"/>
          <w:sz w:val="20"/>
          <w:szCs w:val="20"/>
          <w:lang w:eastAsia="pl-PL"/>
        </w:rPr>
      </w:pPr>
      <w:r w:rsidRPr="007C0C81">
        <w:rPr>
          <w:noProof/>
        </w:rPr>
        <w:drawing>
          <wp:inline distT="0" distB="0" distL="0" distR="0" wp14:anchorId="51D360B9" wp14:editId="5A0BDF59">
            <wp:extent cx="5756910" cy="1025719"/>
            <wp:effectExtent l="0" t="0" r="0" b="3175"/>
            <wp:docPr id="183528159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1388" cy="1028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9B9B5E" w14:textId="619EF3A3" w:rsidR="00583130" w:rsidRPr="00753087" w:rsidRDefault="00A94F7C">
      <w:pPr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eastAsia="Times New Roman" w:cs="Calibri"/>
          <w:i/>
          <w:iCs/>
          <w:kern w:val="0"/>
          <w:sz w:val="18"/>
          <w:szCs w:val="18"/>
          <w:lang w:eastAsia="pl-PL"/>
        </w:rPr>
      </w:pPr>
      <w:r w:rsidRPr="00753087">
        <w:rPr>
          <w:rFonts w:eastAsia="Times New Roman" w:cs="Calibri"/>
          <w:i/>
          <w:iCs/>
          <w:kern w:val="0"/>
          <w:sz w:val="18"/>
          <w:szCs w:val="18"/>
          <w:lang w:eastAsia="pl-PL"/>
        </w:rPr>
        <w:t>Źródło: Opracowanie własne.</w:t>
      </w:r>
    </w:p>
    <w:p w14:paraId="70A446B4" w14:textId="77777777" w:rsidR="00583130" w:rsidRPr="007C0C81" w:rsidRDefault="00A94F7C" w:rsidP="007C0C81">
      <w:pPr>
        <w:spacing w:after="0" w:line="276" w:lineRule="auto"/>
        <w:jc w:val="both"/>
        <w:rPr>
          <w:rFonts w:cs="Calibri"/>
          <w:sz w:val="20"/>
          <w:szCs w:val="20"/>
        </w:rPr>
      </w:pPr>
      <w:r w:rsidRPr="007C0C81">
        <w:rPr>
          <w:rFonts w:cs="Calibri"/>
          <w:sz w:val="20"/>
          <w:szCs w:val="20"/>
        </w:rPr>
        <w:t xml:space="preserve">Poziom prognozowanych wydatków bieżących zdeterminowany jest zakresem realizowanych zadań oraz możliwościami finansowymi. Priorytetem w zakresie planowania wydatków było zapewnienie odpowiednich środków na utrzymanie dotychczasowego zakresu i poziomu usług świadczonych na rzecz mieszkańców. </w:t>
      </w:r>
    </w:p>
    <w:p w14:paraId="69395442" w14:textId="77777777" w:rsidR="00583130" w:rsidRPr="000C62A9" w:rsidRDefault="00A94F7C" w:rsidP="007C0C81">
      <w:pPr>
        <w:autoSpaceDE w:val="0"/>
        <w:spacing w:before="60" w:after="0" w:line="276" w:lineRule="auto"/>
        <w:jc w:val="both"/>
        <w:rPr>
          <w:rFonts w:cs="Calibri"/>
          <w:b/>
          <w:kern w:val="0"/>
          <w:sz w:val="20"/>
          <w:szCs w:val="20"/>
        </w:rPr>
      </w:pPr>
      <w:r w:rsidRPr="000C62A9">
        <w:rPr>
          <w:rFonts w:cs="Calibri"/>
          <w:b/>
          <w:kern w:val="0"/>
          <w:sz w:val="20"/>
          <w:szCs w:val="20"/>
        </w:rPr>
        <w:t>Wynagrodzenia i pochodne od wynagrodzeń</w:t>
      </w:r>
    </w:p>
    <w:p w14:paraId="74D6434B" w14:textId="6FD1F373" w:rsidR="00583130" w:rsidRPr="000C62A9" w:rsidRDefault="00A94F7C" w:rsidP="007C0C81">
      <w:pPr>
        <w:spacing w:after="0" w:line="276" w:lineRule="auto"/>
        <w:jc w:val="both"/>
        <w:rPr>
          <w:rFonts w:cs="Calibri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>Zgodnie z założeniami przyjętymi przy prognozie dochodów, dla wydatków bieżących w roku 202</w:t>
      </w:r>
      <w:r w:rsidR="00A03723">
        <w:rPr>
          <w:rFonts w:cs="Calibri"/>
          <w:kern w:val="0"/>
          <w:sz w:val="20"/>
          <w:szCs w:val="20"/>
        </w:rPr>
        <w:t>6</w:t>
      </w:r>
      <w:r w:rsidRPr="000C62A9">
        <w:rPr>
          <w:rFonts w:cs="Calibri"/>
          <w:kern w:val="0"/>
          <w:sz w:val="20"/>
          <w:szCs w:val="20"/>
        </w:rPr>
        <w:t xml:space="preserve"> przyjęto wartości wynikające z projektu budżetu. W latach 202</w:t>
      </w:r>
      <w:r w:rsidR="007C0C81">
        <w:rPr>
          <w:rFonts w:cs="Calibri"/>
          <w:kern w:val="0"/>
          <w:sz w:val="20"/>
          <w:szCs w:val="20"/>
        </w:rPr>
        <w:t>7</w:t>
      </w:r>
      <w:r w:rsidRPr="000C62A9">
        <w:rPr>
          <w:rFonts w:cs="Calibri"/>
          <w:kern w:val="0"/>
          <w:sz w:val="20"/>
          <w:szCs w:val="20"/>
        </w:rPr>
        <w:t>-202</w:t>
      </w:r>
      <w:r w:rsidR="007C0C81">
        <w:rPr>
          <w:rFonts w:cs="Calibri"/>
          <w:kern w:val="0"/>
          <w:sz w:val="20"/>
          <w:szCs w:val="20"/>
        </w:rPr>
        <w:t>9</w:t>
      </w:r>
      <w:r w:rsidRPr="000C62A9">
        <w:rPr>
          <w:rFonts w:cs="Calibri"/>
          <w:kern w:val="0"/>
          <w:sz w:val="20"/>
          <w:szCs w:val="20"/>
        </w:rPr>
        <w:t xml:space="preserve"> dokonano indeksacji wydatków na wynagrodzenia i pochodne od wynagrodzeń w oparciu o dobrane wskaźniki. </w:t>
      </w:r>
      <w:r w:rsidRPr="000C62A9">
        <w:rPr>
          <w:rFonts w:cs="Calibri"/>
          <w:sz w:val="20"/>
          <w:szCs w:val="20"/>
        </w:rPr>
        <w:t xml:space="preserve">W wyliczeniach wynagrodzeń brano pod uwagę wzrost wynagrodzeń </w:t>
      </w:r>
      <w:r w:rsidR="007C0C81">
        <w:rPr>
          <w:rFonts w:cs="Calibri"/>
          <w:sz w:val="20"/>
          <w:szCs w:val="20"/>
        </w:rPr>
        <w:t>wszystkich</w:t>
      </w:r>
      <w:r w:rsidRPr="000C62A9">
        <w:rPr>
          <w:rFonts w:cs="Calibri"/>
          <w:sz w:val="20"/>
          <w:szCs w:val="20"/>
        </w:rPr>
        <w:t xml:space="preserve"> pracowników </w:t>
      </w:r>
      <w:r w:rsidR="007C0C81">
        <w:rPr>
          <w:rFonts w:cs="Calibri"/>
          <w:sz w:val="20"/>
          <w:szCs w:val="20"/>
        </w:rPr>
        <w:t xml:space="preserve">samorządowych w wysokości </w:t>
      </w:r>
      <w:r w:rsidR="003545A1">
        <w:rPr>
          <w:rFonts w:cs="Calibri"/>
          <w:sz w:val="20"/>
          <w:szCs w:val="20"/>
        </w:rPr>
        <w:t>5</w:t>
      </w:r>
      <w:r w:rsidR="007C0C81">
        <w:rPr>
          <w:rFonts w:cs="Calibri"/>
          <w:sz w:val="20"/>
          <w:szCs w:val="20"/>
        </w:rPr>
        <w:t>% rocznie</w:t>
      </w:r>
      <w:r w:rsidRPr="000C62A9">
        <w:rPr>
          <w:rFonts w:cs="Calibri"/>
          <w:sz w:val="20"/>
          <w:szCs w:val="20"/>
        </w:rPr>
        <w:t xml:space="preserve">. </w:t>
      </w:r>
      <w:r w:rsidR="00A03723">
        <w:rPr>
          <w:rFonts w:cs="Calibri"/>
          <w:sz w:val="20"/>
          <w:szCs w:val="20"/>
        </w:rPr>
        <w:t xml:space="preserve">Ponadto w </w:t>
      </w:r>
      <w:r w:rsidRPr="000C62A9">
        <w:rPr>
          <w:rFonts w:cs="Calibri"/>
          <w:sz w:val="20"/>
          <w:szCs w:val="20"/>
        </w:rPr>
        <w:t xml:space="preserve"> wynagrodzeniach zabezpieczono </w:t>
      </w:r>
      <w:r w:rsidR="00614FB2">
        <w:rPr>
          <w:rFonts w:cs="Calibri"/>
          <w:sz w:val="20"/>
          <w:szCs w:val="20"/>
        </w:rPr>
        <w:t xml:space="preserve">również </w:t>
      </w:r>
      <w:r w:rsidRPr="000C62A9">
        <w:rPr>
          <w:rFonts w:cs="Calibri"/>
          <w:sz w:val="20"/>
          <w:szCs w:val="20"/>
        </w:rPr>
        <w:t xml:space="preserve">środki na nagrody jubileuszowe, odprawy emerytalne w jednostkach oświatowych i w pozostałych jednostkach. </w:t>
      </w:r>
    </w:p>
    <w:p w14:paraId="5AE09725" w14:textId="77777777" w:rsidR="00583130" w:rsidRPr="000C62A9" w:rsidRDefault="00A94F7C" w:rsidP="007C0C81">
      <w:pPr>
        <w:autoSpaceDE w:val="0"/>
        <w:spacing w:before="60" w:after="0" w:line="276" w:lineRule="auto"/>
        <w:jc w:val="both"/>
        <w:rPr>
          <w:rFonts w:cs="Calibri"/>
          <w:b/>
          <w:kern w:val="0"/>
          <w:sz w:val="20"/>
          <w:szCs w:val="20"/>
        </w:rPr>
      </w:pPr>
      <w:r w:rsidRPr="000C62A9">
        <w:rPr>
          <w:rFonts w:cs="Calibri"/>
          <w:b/>
          <w:kern w:val="0"/>
          <w:sz w:val="20"/>
          <w:szCs w:val="20"/>
        </w:rPr>
        <w:lastRenderedPageBreak/>
        <w:t>Odsetki i dyskonto</w:t>
      </w:r>
    </w:p>
    <w:p w14:paraId="75134CDE" w14:textId="1C0D4723" w:rsidR="00583130" w:rsidRPr="000C62A9" w:rsidRDefault="007C0C81">
      <w:pPr>
        <w:autoSpaceDE w:val="0"/>
        <w:spacing w:after="0" w:line="276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Na rok 2026, w projekcie budżetu przyjęto potencjalne odsetki </w:t>
      </w:r>
      <w:r w:rsidR="00614FB2">
        <w:rPr>
          <w:rFonts w:cs="Calibri"/>
          <w:sz w:val="20"/>
          <w:szCs w:val="20"/>
        </w:rPr>
        <w:t xml:space="preserve">280.000,00 zł </w:t>
      </w:r>
      <w:r>
        <w:rPr>
          <w:rFonts w:cs="Calibri"/>
          <w:sz w:val="20"/>
          <w:szCs w:val="20"/>
        </w:rPr>
        <w:t xml:space="preserve">od ewentualnego kredytu </w:t>
      </w:r>
      <w:r w:rsidR="00614FB2">
        <w:rPr>
          <w:rFonts w:cs="Calibri"/>
          <w:sz w:val="20"/>
          <w:szCs w:val="20"/>
        </w:rPr>
        <w:t xml:space="preserve">krótkoterminowego, </w:t>
      </w:r>
      <w:r w:rsidR="00614FB2" w:rsidRPr="00614FB2">
        <w:rPr>
          <w:rFonts w:cs="Calibri"/>
          <w:sz w:val="20"/>
          <w:szCs w:val="20"/>
        </w:rPr>
        <w:t>na pokrycie występującego w ciągu roku budżetowego przejściowego deficytu budżetu</w:t>
      </w:r>
      <w:r w:rsidR="00614FB2">
        <w:rPr>
          <w:rFonts w:cs="Calibri"/>
          <w:sz w:val="20"/>
          <w:szCs w:val="20"/>
        </w:rPr>
        <w:t>.</w:t>
      </w:r>
    </w:p>
    <w:p w14:paraId="67C11C7F" w14:textId="373082DE" w:rsidR="00583130" w:rsidRPr="000C62A9" w:rsidRDefault="007C0C81">
      <w:pPr>
        <w:spacing w:after="0" w:line="276" w:lineRule="auto"/>
        <w:ind w:right="108" w:hanging="11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Ze względu na brak zadłużenia aktualnego jak i potencjalnego, w latach 2027-2029 nie zaplanowano </w:t>
      </w:r>
      <w:r w:rsidR="009D6A32">
        <w:rPr>
          <w:rFonts w:cs="Calibri"/>
          <w:sz w:val="20"/>
          <w:szCs w:val="20"/>
        </w:rPr>
        <w:t>środków na</w:t>
      </w:r>
      <w:r>
        <w:rPr>
          <w:rFonts w:cs="Calibri"/>
          <w:sz w:val="20"/>
          <w:szCs w:val="20"/>
        </w:rPr>
        <w:t xml:space="preserve"> </w:t>
      </w:r>
      <w:r w:rsidR="009D6A32">
        <w:rPr>
          <w:rFonts w:cs="Calibri"/>
          <w:sz w:val="20"/>
          <w:szCs w:val="20"/>
        </w:rPr>
        <w:t>wydatki na obsługę długu.</w:t>
      </w:r>
    </w:p>
    <w:p w14:paraId="766F162D" w14:textId="77777777" w:rsidR="00583130" w:rsidRPr="000C62A9" w:rsidRDefault="00A94F7C" w:rsidP="009D6A32">
      <w:pPr>
        <w:tabs>
          <w:tab w:val="left" w:pos="11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0C62A9">
        <w:rPr>
          <w:rFonts w:cs="Calibri"/>
          <w:b/>
          <w:bCs/>
          <w:kern w:val="0"/>
          <w:sz w:val="20"/>
          <w:szCs w:val="20"/>
          <w:shd w:val="clear" w:color="auto" w:fill="FFFFFF"/>
        </w:rPr>
        <w:t>WYDATKI MAJĄTKOWE</w:t>
      </w:r>
    </w:p>
    <w:p w14:paraId="063DD513" w14:textId="1E29263F" w:rsidR="00EA51B2" w:rsidRPr="00AE3B6C" w:rsidRDefault="00EA51B2">
      <w:pPr>
        <w:tabs>
          <w:tab w:val="left" w:pos="11"/>
          <w:tab w:val="left" w:pos="360"/>
        </w:tabs>
        <w:autoSpaceDE w:val="0"/>
        <w:spacing w:after="0" w:line="276" w:lineRule="auto"/>
        <w:ind w:left="11" w:right="45" w:hanging="11"/>
        <w:jc w:val="both"/>
        <w:rPr>
          <w:rFonts w:cs="Calibri"/>
          <w:kern w:val="0"/>
          <w:sz w:val="20"/>
          <w:szCs w:val="20"/>
          <w:shd w:val="clear" w:color="auto" w:fill="FFFFFF"/>
        </w:rPr>
      </w:pPr>
      <w:r w:rsidRPr="000C62A9">
        <w:rPr>
          <w:rFonts w:cs="Calibri"/>
          <w:kern w:val="0"/>
          <w:sz w:val="20"/>
          <w:szCs w:val="20"/>
        </w:rPr>
        <w:t>Różnica między wydatkami majątkowymi zaplanowanymi w 202</w:t>
      </w:r>
      <w:r w:rsidR="009D6A32">
        <w:rPr>
          <w:rFonts w:cs="Calibri"/>
          <w:kern w:val="0"/>
          <w:sz w:val="20"/>
          <w:szCs w:val="20"/>
        </w:rPr>
        <w:t>6</w:t>
      </w:r>
      <w:r w:rsidRPr="000C62A9">
        <w:rPr>
          <w:rFonts w:cs="Calibri"/>
          <w:kern w:val="0"/>
          <w:sz w:val="20"/>
          <w:szCs w:val="20"/>
        </w:rPr>
        <w:t xml:space="preserve"> r. w kwocie </w:t>
      </w:r>
      <w:r w:rsidR="009D6A32">
        <w:rPr>
          <w:rFonts w:cs="Calibri"/>
          <w:kern w:val="0"/>
          <w:sz w:val="20"/>
          <w:szCs w:val="20"/>
        </w:rPr>
        <w:t>9.219.522,38</w:t>
      </w:r>
      <w:r w:rsidRPr="000C62A9">
        <w:rPr>
          <w:rFonts w:cs="Calibri"/>
          <w:kern w:val="0"/>
          <w:sz w:val="20"/>
          <w:szCs w:val="20"/>
        </w:rPr>
        <w:t xml:space="preserve"> zł, a wydatkami majątkowymi wynikającymi z załącznika nr 2 do WPF w kwocie</w:t>
      </w:r>
      <w:r w:rsidR="009D6A32">
        <w:rPr>
          <w:rFonts w:cs="Calibri"/>
          <w:kern w:val="0"/>
          <w:sz w:val="20"/>
          <w:szCs w:val="20"/>
        </w:rPr>
        <w:t xml:space="preserve"> 8.374.465,88</w:t>
      </w:r>
      <w:r w:rsidRPr="000C62A9">
        <w:rPr>
          <w:rFonts w:cs="Calibri"/>
          <w:kern w:val="0"/>
          <w:sz w:val="20"/>
          <w:szCs w:val="20"/>
        </w:rPr>
        <w:t xml:space="preserve"> zł, stanowią wydatki majątkowe jednoroczne w kwocie </w:t>
      </w:r>
      <w:r w:rsidR="009D6A32">
        <w:rPr>
          <w:rFonts w:cs="Calibri"/>
          <w:kern w:val="0"/>
          <w:sz w:val="20"/>
          <w:szCs w:val="20"/>
        </w:rPr>
        <w:t>845.05</w:t>
      </w:r>
      <w:r w:rsidR="00144DEE">
        <w:rPr>
          <w:rFonts w:cs="Calibri"/>
          <w:kern w:val="0"/>
          <w:sz w:val="20"/>
          <w:szCs w:val="20"/>
        </w:rPr>
        <w:t>6,50</w:t>
      </w:r>
      <w:r w:rsidRPr="000C62A9">
        <w:rPr>
          <w:rFonts w:cs="Calibri"/>
          <w:kern w:val="0"/>
          <w:sz w:val="20"/>
          <w:szCs w:val="20"/>
        </w:rPr>
        <w:t xml:space="preserve"> zł. Wobec faktu, iż niektóre z zadań inwestycyjnych są jednoroczne, nie </w:t>
      </w:r>
      <w:r w:rsidRPr="00AE3B6C">
        <w:rPr>
          <w:rFonts w:cs="Calibri"/>
          <w:kern w:val="0"/>
          <w:sz w:val="20"/>
          <w:szCs w:val="20"/>
        </w:rPr>
        <w:t>uwzględnia się ich w Wieloletnich Przedsięwzięciach, tylko w danym roku budżetowym. Planowany okres realizacji przedsięwzięć majątkowych najdłużej sięga 2028 roku.</w:t>
      </w:r>
    </w:p>
    <w:p w14:paraId="4AFDD346" w14:textId="7ECD3F56" w:rsidR="00583130" w:rsidRPr="00AE3B6C" w:rsidRDefault="00A94F7C" w:rsidP="00AE3B6C">
      <w:pPr>
        <w:tabs>
          <w:tab w:val="left" w:pos="11"/>
          <w:tab w:val="left" w:pos="360"/>
        </w:tabs>
        <w:autoSpaceDE w:val="0"/>
        <w:spacing w:after="0" w:line="276" w:lineRule="auto"/>
        <w:ind w:left="11" w:right="45" w:hanging="11"/>
        <w:jc w:val="both"/>
        <w:rPr>
          <w:rFonts w:cs="Calibri"/>
          <w:kern w:val="0"/>
          <w:sz w:val="20"/>
          <w:szCs w:val="20"/>
        </w:rPr>
      </w:pPr>
      <w:r w:rsidRPr="00AE3B6C">
        <w:rPr>
          <w:rFonts w:cs="Calibri"/>
          <w:kern w:val="0"/>
          <w:sz w:val="20"/>
          <w:szCs w:val="20"/>
        </w:rPr>
        <w:t>W ramach przedsięwzięć finansowych wykazanych w załączniku nr 2 do projektu uchwały Rady Miejskiej w sprawie uchwalenia Wieloletniej Prognozy Finansowej wykazano kwoty wynikające z zawartych już umów</w:t>
      </w:r>
      <w:r w:rsidR="00001F44" w:rsidRPr="00AE3B6C">
        <w:rPr>
          <w:rFonts w:cs="Calibri"/>
          <w:kern w:val="0"/>
          <w:sz w:val="20"/>
          <w:szCs w:val="20"/>
        </w:rPr>
        <w:t xml:space="preserve"> lub przewidzianych do zawarcia</w:t>
      </w:r>
      <w:r w:rsidRPr="00AE3B6C">
        <w:rPr>
          <w:rFonts w:cs="Calibri"/>
          <w:kern w:val="0"/>
          <w:sz w:val="20"/>
          <w:szCs w:val="20"/>
        </w:rPr>
        <w:t xml:space="preserve">. </w:t>
      </w:r>
      <w:r w:rsidR="00AE3B6C" w:rsidRPr="00AE3B6C">
        <w:rPr>
          <w:rFonts w:cs="Calibri"/>
          <w:kern w:val="0"/>
          <w:sz w:val="20"/>
          <w:szCs w:val="20"/>
        </w:rPr>
        <w:t>W 2026 r. s</w:t>
      </w:r>
      <w:r w:rsidRPr="00AE3B6C">
        <w:rPr>
          <w:rFonts w:cs="Calibri"/>
          <w:kern w:val="0"/>
          <w:sz w:val="20"/>
          <w:szCs w:val="20"/>
        </w:rPr>
        <w:t xml:space="preserve">ą to zadania: zadania bieżące w kwocie </w:t>
      </w:r>
      <w:r w:rsidR="00AE3B6C" w:rsidRPr="00AE3B6C">
        <w:rPr>
          <w:rFonts w:cs="Calibri"/>
          <w:kern w:val="0"/>
          <w:sz w:val="20"/>
          <w:szCs w:val="20"/>
        </w:rPr>
        <w:t xml:space="preserve">1.158.755,54 </w:t>
      </w:r>
      <w:r w:rsidRPr="00AE3B6C">
        <w:rPr>
          <w:rFonts w:cs="Calibri"/>
          <w:kern w:val="0"/>
          <w:sz w:val="20"/>
          <w:szCs w:val="20"/>
        </w:rPr>
        <w:t>zł</w:t>
      </w:r>
      <w:r w:rsidR="00AE3B6C" w:rsidRPr="00AE3B6C">
        <w:rPr>
          <w:rFonts w:cs="Calibri"/>
          <w:kern w:val="0"/>
          <w:sz w:val="20"/>
          <w:szCs w:val="20"/>
        </w:rPr>
        <w:t xml:space="preserve">  i </w:t>
      </w:r>
      <w:r w:rsidRPr="00AE3B6C">
        <w:rPr>
          <w:rFonts w:cs="Calibri"/>
          <w:kern w:val="0"/>
          <w:sz w:val="20"/>
          <w:szCs w:val="20"/>
        </w:rPr>
        <w:t>zadania majątkowe w kwocie</w:t>
      </w:r>
      <w:r w:rsidR="009D6A32" w:rsidRPr="00AE3B6C">
        <w:rPr>
          <w:rFonts w:cs="Calibri"/>
          <w:kern w:val="0"/>
          <w:sz w:val="20"/>
          <w:szCs w:val="20"/>
        </w:rPr>
        <w:t xml:space="preserve"> </w:t>
      </w:r>
      <w:r w:rsidR="00282363" w:rsidRPr="00AE3B6C">
        <w:rPr>
          <w:rFonts w:cs="Calibri"/>
          <w:kern w:val="0"/>
          <w:sz w:val="20"/>
          <w:szCs w:val="20"/>
        </w:rPr>
        <w:t>8.</w:t>
      </w:r>
      <w:r w:rsidR="00AE3B6C" w:rsidRPr="00AE3B6C">
        <w:rPr>
          <w:rFonts w:cs="Calibri"/>
          <w:kern w:val="0"/>
          <w:sz w:val="20"/>
          <w:szCs w:val="20"/>
        </w:rPr>
        <w:t>374.465,88</w:t>
      </w:r>
      <w:r w:rsidRPr="00AE3B6C">
        <w:rPr>
          <w:rFonts w:cs="Calibri"/>
          <w:kern w:val="0"/>
          <w:sz w:val="20"/>
          <w:szCs w:val="20"/>
        </w:rPr>
        <w:t xml:space="preserve"> zł. </w:t>
      </w:r>
    </w:p>
    <w:p w14:paraId="069F1460" w14:textId="77777777" w:rsidR="00583130" w:rsidRPr="000C62A9" w:rsidRDefault="00583130">
      <w:pPr>
        <w:tabs>
          <w:tab w:val="left" w:pos="11"/>
          <w:tab w:val="left" w:pos="360"/>
        </w:tabs>
        <w:autoSpaceDE w:val="0"/>
        <w:spacing w:after="0" w:line="276" w:lineRule="auto"/>
        <w:ind w:left="11" w:right="45" w:hanging="11"/>
        <w:jc w:val="both"/>
        <w:rPr>
          <w:rFonts w:cs="Calibri"/>
          <w:kern w:val="0"/>
          <w:sz w:val="20"/>
          <w:szCs w:val="20"/>
          <w:shd w:val="clear" w:color="auto" w:fill="FFFFFF"/>
        </w:rPr>
      </w:pPr>
    </w:p>
    <w:p w14:paraId="1FDD6897" w14:textId="77777777" w:rsidR="00583130" w:rsidRPr="000C62A9" w:rsidRDefault="00A94F7C">
      <w:pPr>
        <w:tabs>
          <w:tab w:val="left" w:pos="11"/>
          <w:tab w:val="left" w:pos="360"/>
        </w:tabs>
        <w:autoSpaceDE w:val="0"/>
        <w:spacing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0C62A9">
        <w:rPr>
          <w:rFonts w:cs="Calibri"/>
          <w:b/>
          <w:bCs/>
          <w:kern w:val="0"/>
          <w:sz w:val="20"/>
          <w:szCs w:val="20"/>
          <w:shd w:val="clear" w:color="auto" w:fill="FFFFFF"/>
        </w:rPr>
        <w:t>III. PRZEDSIĘWZIĘCIA</w:t>
      </w:r>
    </w:p>
    <w:p w14:paraId="0C0227CC" w14:textId="77777777" w:rsidR="00583130" w:rsidRPr="000C62A9" w:rsidRDefault="00A94F7C">
      <w:pPr>
        <w:tabs>
          <w:tab w:val="left" w:pos="11"/>
          <w:tab w:val="left" w:pos="360"/>
        </w:tabs>
        <w:autoSpaceDE w:val="0"/>
        <w:spacing w:after="0" w:line="276" w:lineRule="auto"/>
        <w:ind w:left="11" w:right="45" w:hanging="11"/>
        <w:jc w:val="both"/>
        <w:rPr>
          <w:rFonts w:cs="Calibri"/>
          <w:kern w:val="0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>W wykazie przedsięwzięć ujęto wydatki:</w:t>
      </w:r>
    </w:p>
    <w:p w14:paraId="49BD86C3" w14:textId="46C51017" w:rsidR="00583130" w:rsidRPr="00282363" w:rsidRDefault="00A94F7C" w:rsidP="00282363">
      <w:pPr>
        <w:tabs>
          <w:tab w:val="left" w:pos="15"/>
          <w:tab w:val="left" w:pos="360"/>
        </w:tabs>
        <w:autoSpaceDE w:val="0"/>
        <w:spacing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282363">
        <w:rPr>
          <w:rFonts w:cs="Calibri"/>
          <w:b/>
          <w:bCs/>
          <w:kern w:val="0"/>
          <w:sz w:val="20"/>
          <w:szCs w:val="20"/>
          <w:shd w:val="clear" w:color="auto" w:fill="FFFFFF"/>
        </w:rPr>
        <w:t>wydatki bieżące</w:t>
      </w:r>
    </w:p>
    <w:p w14:paraId="0705204A" w14:textId="217CA032" w:rsidR="00583130" w:rsidRPr="00AE3B6C" w:rsidRDefault="00282363" w:rsidP="00282363">
      <w:pPr>
        <w:pStyle w:val="Akapitzlist"/>
        <w:numPr>
          <w:ilvl w:val="0"/>
          <w:numId w:val="5"/>
        </w:numPr>
        <w:tabs>
          <w:tab w:val="left" w:pos="284"/>
        </w:tabs>
        <w:suppressAutoHyphens w:val="0"/>
        <w:spacing w:after="0"/>
        <w:ind w:left="0" w:firstLine="0"/>
        <w:contextualSpacing/>
        <w:jc w:val="both"/>
        <w:textAlignment w:val="auto"/>
        <w:rPr>
          <w:sz w:val="20"/>
          <w:szCs w:val="20"/>
          <w:u w:val="single"/>
        </w:rPr>
      </w:pPr>
      <w:r w:rsidRPr="00282363">
        <w:rPr>
          <w:sz w:val="20"/>
          <w:szCs w:val="20"/>
          <w:u w:val="single"/>
        </w:rPr>
        <w:t>Dostępny Urząd Gminy Rakoniewice - Poprawa dostępności obiektów lub przestrzeni pozostających w dyspozycji gminy Rakoniewice lub usług publicznych świadczonych przez gminę dla osób ze szczególnymi potrzebami</w:t>
      </w:r>
      <w:r w:rsidRPr="00282363">
        <w:rPr>
          <w:bCs/>
          <w:sz w:val="20"/>
          <w:szCs w:val="20"/>
          <w:u w:val="single"/>
        </w:rPr>
        <w:t>:</w:t>
      </w:r>
    </w:p>
    <w:p w14:paraId="6B8E8E83" w14:textId="188A8795" w:rsidR="00AE3B6C" w:rsidRPr="00AE3B6C" w:rsidRDefault="00AE3B6C" w:rsidP="00AE3B6C">
      <w:pPr>
        <w:pStyle w:val="Akapitzlist"/>
        <w:tabs>
          <w:tab w:val="left" w:pos="284"/>
        </w:tabs>
        <w:suppressAutoHyphens w:val="0"/>
        <w:spacing w:after="0"/>
        <w:ind w:left="0"/>
        <w:contextualSpacing/>
        <w:jc w:val="both"/>
        <w:textAlignment w:val="auto"/>
        <w:rPr>
          <w:sz w:val="18"/>
          <w:szCs w:val="18"/>
          <w:u w:val="single"/>
        </w:rPr>
      </w:pPr>
      <w:r w:rsidRPr="00AE3B6C">
        <w:rPr>
          <w:sz w:val="20"/>
          <w:szCs w:val="20"/>
        </w:rPr>
        <w:t>Zadanie realizowane</w:t>
      </w:r>
      <w:r w:rsidR="00760BCA">
        <w:rPr>
          <w:sz w:val="20"/>
          <w:szCs w:val="20"/>
        </w:rPr>
        <w:t xml:space="preserve"> w latach 2025 – 2026, </w:t>
      </w:r>
      <w:r w:rsidRPr="00AE3B6C">
        <w:rPr>
          <w:sz w:val="20"/>
          <w:szCs w:val="20"/>
        </w:rPr>
        <w:t xml:space="preserve"> w ramach p</w:t>
      </w:r>
      <w:r w:rsidRPr="00AE3B6C">
        <w:rPr>
          <w:bCs/>
          <w:iCs/>
          <w:sz w:val="20"/>
          <w:szCs w:val="20"/>
        </w:rPr>
        <w:t xml:space="preserve">owierzenia </w:t>
      </w:r>
      <w:r w:rsidRPr="00AE3B6C">
        <w:rPr>
          <w:iCs/>
          <w:sz w:val="20"/>
          <w:szCs w:val="20"/>
        </w:rPr>
        <w:t>grantu w projekcie „</w:t>
      </w:r>
      <w:r w:rsidRPr="00AE3B6C">
        <w:rPr>
          <w:i/>
          <w:iCs/>
          <w:sz w:val="20"/>
          <w:szCs w:val="20"/>
        </w:rPr>
        <w:t>Dostępny samorząd 2.0</w:t>
      </w:r>
      <w:r w:rsidRPr="00AE3B6C">
        <w:rPr>
          <w:iCs/>
          <w:sz w:val="20"/>
          <w:szCs w:val="20"/>
        </w:rPr>
        <w:t>”</w:t>
      </w:r>
      <w:r w:rsidRPr="00AE3B6C">
        <w:rPr>
          <w:b/>
          <w:bCs/>
          <w:iCs/>
          <w:sz w:val="20"/>
          <w:szCs w:val="20"/>
        </w:rPr>
        <w:t xml:space="preserve"> </w:t>
      </w:r>
      <w:r w:rsidRPr="00AE3B6C">
        <w:rPr>
          <w:bCs/>
          <w:iCs/>
          <w:sz w:val="20"/>
          <w:szCs w:val="20"/>
        </w:rPr>
        <w:t>realizowanym przez Ministra Spraw Wewnętrznych i Administracji w partnerstwie z Państwowym Funduszem Rehabilitacji Osób Niepełnosprawnych, Fundacją Instytut Rozwoju Regionalnego oraz Śląskim Związkiem Gmin i Powiatów w programie Fundusze Europejskie dla Rozwoju Społecznego 2021-2027. Grant przekazywany na realizację przedsięwzięcia grantowego pn.: „Dostępny Urząd Gminy Rakoniewice”,</w:t>
      </w:r>
      <w:r w:rsidRPr="00093F2B">
        <w:rPr>
          <w:bCs/>
          <w:iCs/>
        </w:rPr>
        <w:t xml:space="preserve"> </w:t>
      </w:r>
      <w:r w:rsidRPr="00AE3B6C">
        <w:rPr>
          <w:bCs/>
          <w:iCs/>
          <w:sz w:val="20"/>
          <w:szCs w:val="20"/>
        </w:rPr>
        <w:t>określonego w planie rzeczowo-finansowym nr 29.2025.G/20250820111924.</w:t>
      </w:r>
    </w:p>
    <w:p w14:paraId="6AB45A8C" w14:textId="75958CE2" w:rsidR="00583130" w:rsidRPr="000C62A9" w:rsidRDefault="00A94F7C" w:rsidP="00282363">
      <w:pPr>
        <w:pStyle w:val="Akapitzlist"/>
        <w:numPr>
          <w:ilvl w:val="0"/>
          <w:numId w:val="6"/>
        </w:numPr>
        <w:tabs>
          <w:tab w:val="left" w:pos="284"/>
        </w:tabs>
        <w:suppressAutoHyphens w:val="0"/>
        <w:autoSpaceDE/>
        <w:spacing w:before="60" w:after="0"/>
        <w:ind w:left="284" w:hanging="142"/>
        <w:jc w:val="both"/>
        <w:textAlignment w:val="auto"/>
        <w:rPr>
          <w:sz w:val="20"/>
          <w:szCs w:val="20"/>
        </w:rPr>
      </w:pPr>
      <w:r w:rsidRPr="00AE3B6C">
        <w:rPr>
          <w:sz w:val="20"/>
          <w:szCs w:val="20"/>
          <w:u w:val="single"/>
        </w:rPr>
        <w:t>w części bieżącej</w:t>
      </w:r>
      <w:r w:rsidRPr="000C62A9">
        <w:rPr>
          <w:sz w:val="20"/>
          <w:szCs w:val="20"/>
        </w:rPr>
        <w:t xml:space="preserve"> przedsięwzięcie zadanie realizowane przez Urząd Miejski w Rakoniewicach w latach 202</w:t>
      </w:r>
      <w:r w:rsidR="00282363">
        <w:rPr>
          <w:sz w:val="20"/>
          <w:szCs w:val="20"/>
        </w:rPr>
        <w:t>5-</w:t>
      </w:r>
      <w:r w:rsidRPr="000C62A9">
        <w:rPr>
          <w:sz w:val="20"/>
          <w:szCs w:val="20"/>
        </w:rPr>
        <w:t>202</w:t>
      </w:r>
      <w:r w:rsidR="00282363">
        <w:rPr>
          <w:sz w:val="20"/>
          <w:szCs w:val="20"/>
        </w:rPr>
        <w:t>6</w:t>
      </w:r>
      <w:r w:rsidRPr="000C62A9">
        <w:rPr>
          <w:sz w:val="20"/>
          <w:szCs w:val="20"/>
        </w:rPr>
        <w:t xml:space="preserve">, łączne nakłady finansowe wynoszą: </w:t>
      </w:r>
      <w:r w:rsidR="00282363">
        <w:rPr>
          <w:sz w:val="20"/>
          <w:szCs w:val="20"/>
        </w:rPr>
        <w:t>93.500,00</w:t>
      </w:r>
      <w:r w:rsidRPr="000C62A9">
        <w:rPr>
          <w:sz w:val="20"/>
          <w:szCs w:val="20"/>
        </w:rPr>
        <w:t xml:space="preserve"> zł, w tym w roku 202</w:t>
      </w:r>
      <w:r w:rsidR="00282363">
        <w:rPr>
          <w:sz w:val="20"/>
          <w:szCs w:val="20"/>
        </w:rPr>
        <w:t>6</w:t>
      </w:r>
      <w:r w:rsidRPr="000C62A9">
        <w:rPr>
          <w:sz w:val="20"/>
          <w:szCs w:val="20"/>
        </w:rPr>
        <w:t xml:space="preserve"> kwota: </w:t>
      </w:r>
      <w:r w:rsidR="00282363">
        <w:rPr>
          <w:sz w:val="20"/>
          <w:szCs w:val="20"/>
        </w:rPr>
        <w:t>85.500,00</w:t>
      </w:r>
      <w:r w:rsidRPr="000C62A9">
        <w:rPr>
          <w:sz w:val="20"/>
          <w:szCs w:val="20"/>
        </w:rPr>
        <w:t xml:space="preserve"> zł</w:t>
      </w:r>
      <w:r w:rsidR="00282363">
        <w:rPr>
          <w:sz w:val="20"/>
          <w:szCs w:val="20"/>
        </w:rPr>
        <w:t>,</w:t>
      </w:r>
    </w:p>
    <w:p w14:paraId="24029862" w14:textId="3F6DDD95" w:rsidR="00583130" w:rsidRPr="000C62A9" w:rsidRDefault="00A94F7C" w:rsidP="00282363">
      <w:pPr>
        <w:pStyle w:val="Akapitzlist"/>
        <w:numPr>
          <w:ilvl w:val="0"/>
          <w:numId w:val="6"/>
        </w:numPr>
        <w:tabs>
          <w:tab w:val="left" w:pos="284"/>
        </w:tabs>
        <w:suppressAutoHyphens w:val="0"/>
        <w:autoSpaceDE/>
        <w:spacing w:after="0"/>
        <w:ind w:left="284" w:hanging="142"/>
        <w:contextualSpacing/>
        <w:jc w:val="both"/>
        <w:textAlignment w:val="auto"/>
        <w:rPr>
          <w:sz w:val="20"/>
          <w:szCs w:val="20"/>
        </w:rPr>
      </w:pPr>
      <w:r w:rsidRPr="00AE3B6C">
        <w:rPr>
          <w:sz w:val="20"/>
          <w:szCs w:val="20"/>
          <w:u w:val="single"/>
        </w:rPr>
        <w:t>w części majątkowej</w:t>
      </w:r>
      <w:r w:rsidRPr="000C62A9">
        <w:rPr>
          <w:sz w:val="20"/>
          <w:szCs w:val="20"/>
        </w:rPr>
        <w:t xml:space="preserve"> przedsięwzięcie zadanie realizowane przez Urząd Miejski w Rakoniewicach w latach </w:t>
      </w:r>
      <w:r w:rsidR="00282363" w:rsidRPr="000C62A9">
        <w:rPr>
          <w:sz w:val="20"/>
          <w:szCs w:val="20"/>
        </w:rPr>
        <w:t>202</w:t>
      </w:r>
      <w:r w:rsidR="00282363">
        <w:rPr>
          <w:sz w:val="20"/>
          <w:szCs w:val="20"/>
        </w:rPr>
        <w:t>5-</w:t>
      </w:r>
      <w:r w:rsidR="00282363" w:rsidRPr="000C62A9">
        <w:rPr>
          <w:sz w:val="20"/>
          <w:szCs w:val="20"/>
        </w:rPr>
        <w:t>202</w:t>
      </w:r>
      <w:r w:rsidR="00282363">
        <w:rPr>
          <w:sz w:val="20"/>
          <w:szCs w:val="20"/>
        </w:rPr>
        <w:t>6</w:t>
      </w:r>
      <w:r w:rsidR="00282363" w:rsidRPr="000C62A9">
        <w:rPr>
          <w:sz w:val="20"/>
          <w:szCs w:val="20"/>
        </w:rPr>
        <w:t xml:space="preserve">, łączne nakłady finansowe wynoszą: </w:t>
      </w:r>
      <w:r w:rsidR="00282363">
        <w:rPr>
          <w:sz w:val="20"/>
          <w:szCs w:val="20"/>
        </w:rPr>
        <w:t>175.993,</w:t>
      </w:r>
      <w:r w:rsidR="00AE3B6C">
        <w:rPr>
          <w:sz w:val="20"/>
          <w:szCs w:val="20"/>
        </w:rPr>
        <w:t>88</w:t>
      </w:r>
      <w:r w:rsidR="00282363" w:rsidRPr="000C62A9">
        <w:rPr>
          <w:sz w:val="20"/>
          <w:szCs w:val="20"/>
        </w:rPr>
        <w:t xml:space="preserve"> zł, w tym w roku 202</w:t>
      </w:r>
      <w:r w:rsidR="00282363">
        <w:rPr>
          <w:sz w:val="20"/>
          <w:szCs w:val="20"/>
        </w:rPr>
        <w:t>6</w:t>
      </w:r>
      <w:r w:rsidR="00282363" w:rsidRPr="000C62A9">
        <w:rPr>
          <w:sz w:val="20"/>
          <w:szCs w:val="20"/>
        </w:rPr>
        <w:t xml:space="preserve"> kwota: </w:t>
      </w:r>
      <w:r w:rsidR="00282363">
        <w:rPr>
          <w:sz w:val="20"/>
          <w:szCs w:val="20"/>
        </w:rPr>
        <w:t>147.993,</w:t>
      </w:r>
      <w:r w:rsidR="00AE3B6C">
        <w:rPr>
          <w:sz w:val="20"/>
          <w:szCs w:val="20"/>
        </w:rPr>
        <w:t>88</w:t>
      </w:r>
      <w:r w:rsidR="00282363" w:rsidRPr="000C62A9">
        <w:rPr>
          <w:sz w:val="20"/>
          <w:szCs w:val="20"/>
        </w:rPr>
        <w:t xml:space="preserve"> zł</w:t>
      </w:r>
      <w:r w:rsidRPr="000C62A9">
        <w:rPr>
          <w:sz w:val="20"/>
          <w:szCs w:val="20"/>
        </w:rPr>
        <w:t xml:space="preserve">. </w:t>
      </w:r>
    </w:p>
    <w:p w14:paraId="7337377D" w14:textId="77777777" w:rsidR="00AE3B6C" w:rsidRPr="000C62A9" w:rsidRDefault="00AE3B6C" w:rsidP="00AE3B6C">
      <w:pPr>
        <w:pStyle w:val="Akapitzlist"/>
        <w:numPr>
          <w:ilvl w:val="0"/>
          <w:numId w:val="5"/>
        </w:num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</w:rPr>
      </w:pPr>
      <w:r w:rsidRPr="000C62A9">
        <w:rPr>
          <w:sz w:val="20"/>
          <w:szCs w:val="20"/>
          <w:u w:val="single"/>
        </w:rPr>
        <w:t>Sporządzenie planu ogólnego zagospodarowania przestrzennego dla gminy Rakoniewice</w:t>
      </w:r>
    </w:p>
    <w:p w14:paraId="28589A84" w14:textId="1218F375" w:rsidR="00AE3B6C" w:rsidRPr="00AE3B6C" w:rsidRDefault="00760BCA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73992">
        <w:rPr>
          <w:sz w:val="20"/>
          <w:szCs w:val="20"/>
        </w:rPr>
        <w:t>Zadanie realizowane w latach 2024-202</w:t>
      </w:r>
      <w:r>
        <w:rPr>
          <w:sz w:val="20"/>
          <w:szCs w:val="20"/>
        </w:rPr>
        <w:t>6</w:t>
      </w:r>
      <w:r w:rsidRPr="00073992">
        <w:rPr>
          <w:sz w:val="20"/>
          <w:szCs w:val="20"/>
        </w:rPr>
        <w:t>,</w:t>
      </w:r>
      <w:r>
        <w:rPr>
          <w:sz w:val="20"/>
          <w:szCs w:val="20"/>
        </w:rPr>
        <w:t xml:space="preserve"> ł</w:t>
      </w:r>
      <w:r w:rsidR="00AE3B6C" w:rsidRPr="00AE3B6C">
        <w:rPr>
          <w:rFonts w:cs="Calibri"/>
          <w:kern w:val="0"/>
          <w:sz w:val="20"/>
          <w:szCs w:val="20"/>
        </w:rPr>
        <w:t>ączne nakłady finansowe: 135.300,00 zł, limit na rok 202</w:t>
      </w:r>
      <w:r>
        <w:rPr>
          <w:rFonts w:cs="Calibri"/>
          <w:kern w:val="0"/>
          <w:sz w:val="20"/>
          <w:szCs w:val="20"/>
        </w:rPr>
        <w:t>6</w:t>
      </w:r>
      <w:r w:rsidR="00AE3B6C" w:rsidRPr="00AE3B6C">
        <w:rPr>
          <w:rFonts w:cs="Calibri"/>
          <w:kern w:val="0"/>
          <w:sz w:val="20"/>
          <w:szCs w:val="20"/>
        </w:rPr>
        <w:t xml:space="preserve"> – 55.300,00 zł. Limit zobowiązań: 55.300,00 zł.</w:t>
      </w:r>
    </w:p>
    <w:p w14:paraId="6A2C8734" w14:textId="77777777" w:rsidR="00AE3B6C" w:rsidRPr="000C62A9" w:rsidRDefault="00AE3B6C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AE3B6C">
        <w:rPr>
          <w:rFonts w:cs="Calibri"/>
          <w:kern w:val="0"/>
          <w:sz w:val="20"/>
          <w:szCs w:val="20"/>
        </w:rPr>
        <w:t>Środki na to zadanie w poszczególnych latach są zabezpieczone w dziale: w dziale działalność usługowa, rozdział plany zagospodarowania przestrzennego.</w:t>
      </w:r>
    </w:p>
    <w:p w14:paraId="0BC29AD5" w14:textId="77777777" w:rsidR="00AE3B6C" w:rsidRPr="000C62A9" w:rsidRDefault="00AE3B6C" w:rsidP="00AE3B6C">
      <w:pPr>
        <w:pStyle w:val="Akapitzlist"/>
        <w:numPr>
          <w:ilvl w:val="0"/>
          <w:numId w:val="5"/>
        </w:num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  <w:u w:val="single"/>
        </w:rPr>
      </w:pPr>
      <w:r w:rsidRPr="000C62A9">
        <w:rPr>
          <w:sz w:val="20"/>
          <w:szCs w:val="20"/>
          <w:u w:val="single"/>
        </w:rPr>
        <w:t>Umowa na dzierżawę drukarek na lata 2024</w:t>
      </w:r>
      <w:r>
        <w:rPr>
          <w:sz w:val="20"/>
          <w:szCs w:val="20"/>
          <w:u w:val="single"/>
        </w:rPr>
        <w:t>-</w:t>
      </w:r>
      <w:r w:rsidRPr="000C62A9">
        <w:rPr>
          <w:sz w:val="20"/>
          <w:szCs w:val="20"/>
          <w:u w:val="single"/>
        </w:rPr>
        <w:t>2027 - zapewnienie obsługi urzędu</w:t>
      </w:r>
    </w:p>
    <w:p w14:paraId="43BAA72F" w14:textId="2F8EBDED" w:rsidR="00AE3B6C" w:rsidRPr="00AE3B6C" w:rsidRDefault="00760BCA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4-2027</w:t>
      </w:r>
      <w:r w:rsidRPr="00073992">
        <w:rPr>
          <w:sz w:val="20"/>
          <w:szCs w:val="20"/>
        </w:rPr>
        <w:t>,</w:t>
      </w:r>
      <w:r>
        <w:rPr>
          <w:sz w:val="20"/>
          <w:szCs w:val="20"/>
        </w:rPr>
        <w:t xml:space="preserve"> ł</w:t>
      </w:r>
      <w:r w:rsidR="00AE3B6C" w:rsidRPr="000C62A9">
        <w:rPr>
          <w:rFonts w:cs="Calibri"/>
          <w:kern w:val="0"/>
          <w:sz w:val="20"/>
          <w:szCs w:val="20"/>
        </w:rPr>
        <w:t>ączne nakłady finansowe: 116.307,16</w:t>
      </w:r>
      <w:r w:rsidR="00AE3B6C">
        <w:rPr>
          <w:rFonts w:cs="Calibri"/>
          <w:kern w:val="0"/>
          <w:sz w:val="20"/>
          <w:szCs w:val="20"/>
        </w:rPr>
        <w:t xml:space="preserve"> zł,</w:t>
      </w:r>
      <w:r w:rsidR="00AE3B6C" w:rsidRPr="000C62A9">
        <w:rPr>
          <w:rFonts w:cs="Calibri"/>
          <w:kern w:val="0"/>
          <w:sz w:val="20"/>
          <w:szCs w:val="20"/>
        </w:rPr>
        <w:t xml:space="preserve"> limit na </w:t>
      </w:r>
      <w:r w:rsidR="00AE3B6C">
        <w:rPr>
          <w:rFonts w:cs="Calibri"/>
          <w:kern w:val="0"/>
          <w:sz w:val="20"/>
          <w:szCs w:val="20"/>
        </w:rPr>
        <w:t xml:space="preserve">rok </w:t>
      </w:r>
      <w:r w:rsidR="00AE3B6C" w:rsidRPr="000C62A9">
        <w:rPr>
          <w:rFonts w:cs="Calibri"/>
          <w:kern w:val="0"/>
          <w:sz w:val="20"/>
          <w:szCs w:val="20"/>
        </w:rPr>
        <w:t xml:space="preserve">2026 </w:t>
      </w:r>
      <w:r w:rsidR="00AE3B6C">
        <w:rPr>
          <w:rFonts w:cs="Calibri"/>
          <w:kern w:val="0"/>
          <w:sz w:val="20"/>
          <w:szCs w:val="20"/>
        </w:rPr>
        <w:t>-</w:t>
      </w:r>
      <w:r w:rsidR="00AE3B6C" w:rsidRPr="000C62A9">
        <w:rPr>
          <w:rFonts w:cs="Calibri"/>
          <w:kern w:val="0"/>
          <w:sz w:val="20"/>
          <w:szCs w:val="20"/>
        </w:rPr>
        <w:t xml:space="preserve"> 38.567,28 zł, limit na </w:t>
      </w:r>
      <w:r w:rsidR="00AE3B6C">
        <w:rPr>
          <w:rFonts w:cs="Calibri"/>
          <w:kern w:val="0"/>
          <w:sz w:val="20"/>
          <w:szCs w:val="20"/>
        </w:rPr>
        <w:t xml:space="preserve">rok </w:t>
      </w:r>
      <w:r w:rsidR="00AE3B6C" w:rsidRPr="000C62A9">
        <w:rPr>
          <w:rFonts w:cs="Calibri"/>
          <w:kern w:val="0"/>
          <w:sz w:val="20"/>
          <w:szCs w:val="20"/>
        </w:rPr>
        <w:t xml:space="preserve">2027 </w:t>
      </w:r>
      <w:r w:rsidR="00AE3B6C">
        <w:rPr>
          <w:rFonts w:cs="Calibri"/>
          <w:kern w:val="0"/>
          <w:sz w:val="20"/>
          <w:szCs w:val="20"/>
        </w:rPr>
        <w:t>-</w:t>
      </w:r>
      <w:r w:rsidR="00AE3B6C" w:rsidRPr="000C62A9">
        <w:rPr>
          <w:rFonts w:cs="Calibri"/>
          <w:kern w:val="0"/>
          <w:sz w:val="20"/>
          <w:szCs w:val="20"/>
        </w:rPr>
        <w:t xml:space="preserve"> 25.711,52 zł. Limit </w:t>
      </w:r>
      <w:r w:rsidR="00AE3B6C" w:rsidRPr="00AE3B6C">
        <w:rPr>
          <w:rFonts w:cs="Calibri"/>
          <w:kern w:val="0"/>
          <w:sz w:val="20"/>
          <w:szCs w:val="20"/>
        </w:rPr>
        <w:t xml:space="preserve">zobowiązań 0,00 zł. </w:t>
      </w:r>
    </w:p>
    <w:p w14:paraId="6AAC8CB0" w14:textId="77777777" w:rsidR="00AE3B6C" w:rsidRPr="000C62A9" w:rsidRDefault="00AE3B6C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AE3B6C">
        <w:rPr>
          <w:rFonts w:cs="Calibri"/>
          <w:kern w:val="0"/>
          <w:sz w:val="20"/>
          <w:szCs w:val="20"/>
        </w:rPr>
        <w:t>Środki na to zadanie są zaplanowane w poszczególnych latach w dziale: administracja publiczna, rozdział urzędy gmin miast.</w:t>
      </w:r>
    </w:p>
    <w:p w14:paraId="7B3E1ECD" w14:textId="77777777" w:rsidR="00AE3B6C" w:rsidRPr="00AE3B6C" w:rsidRDefault="00AE3B6C" w:rsidP="00AE3B6C">
      <w:pPr>
        <w:pStyle w:val="Akapitzlist"/>
        <w:numPr>
          <w:ilvl w:val="0"/>
          <w:numId w:val="5"/>
        </w:num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</w:rPr>
      </w:pPr>
      <w:r w:rsidRPr="00AE3B6C">
        <w:rPr>
          <w:sz w:val="20"/>
          <w:szCs w:val="20"/>
          <w:u w:val="single"/>
        </w:rPr>
        <w:t>Dowóz dzieci i młodzieży do szkół w roku szkolnym 2025-2026</w:t>
      </w:r>
    </w:p>
    <w:p w14:paraId="1930A246" w14:textId="583544A2" w:rsidR="00AE3B6C" w:rsidRPr="00AE3B6C" w:rsidRDefault="00760BCA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5-2026</w:t>
      </w:r>
      <w:r w:rsidRPr="00073992">
        <w:rPr>
          <w:sz w:val="20"/>
          <w:szCs w:val="20"/>
        </w:rPr>
        <w:t>,</w:t>
      </w:r>
      <w:r>
        <w:rPr>
          <w:sz w:val="20"/>
          <w:szCs w:val="20"/>
        </w:rPr>
        <w:t xml:space="preserve"> ł</w:t>
      </w:r>
      <w:r w:rsidR="00AE3B6C" w:rsidRPr="00AE3B6C">
        <w:rPr>
          <w:rFonts w:cs="Calibri"/>
          <w:kern w:val="0"/>
          <w:sz w:val="20"/>
          <w:szCs w:val="20"/>
        </w:rPr>
        <w:t>ączne nakłady finansowe: 665.647,10 zł, limit na 2026 – 399.388,26 zł. Limit zobowiązań 0,00 zł.</w:t>
      </w:r>
    </w:p>
    <w:p w14:paraId="79CE1E62" w14:textId="77777777" w:rsidR="00AE3B6C" w:rsidRPr="000C62A9" w:rsidRDefault="00AE3B6C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AE3B6C">
        <w:rPr>
          <w:rFonts w:cs="Calibri"/>
          <w:kern w:val="0"/>
          <w:sz w:val="20"/>
          <w:szCs w:val="20"/>
        </w:rPr>
        <w:t>Środki na to zadanie w poszczególnych latach są zabezpieczone w dziale: w dziale oświata i wychowanie, rozdział dowożenie uczniów do szkół.</w:t>
      </w:r>
    </w:p>
    <w:p w14:paraId="77ADE89F" w14:textId="77777777" w:rsidR="00AE3B6C" w:rsidRPr="000C62A9" w:rsidRDefault="00AE3B6C" w:rsidP="00AE3B6C">
      <w:pPr>
        <w:pStyle w:val="Akapitzlist"/>
        <w:numPr>
          <w:ilvl w:val="0"/>
          <w:numId w:val="5"/>
        </w:num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</w:rPr>
      </w:pPr>
      <w:r w:rsidRPr="000C62A9">
        <w:rPr>
          <w:sz w:val="20"/>
          <w:szCs w:val="20"/>
          <w:u w:val="single"/>
        </w:rPr>
        <w:t>Dowóz dzieci i młodzieży niepełnosprawnej do szkół w roku szkolnym 202</w:t>
      </w:r>
      <w:r>
        <w:rPr>
          <w:sz w:val="20"/>
          <w:szCs w:val="20"/>
          <w:u w:val="single"/>
        </w:rPr>
        <w:t>5-</w:t>
      </w:r>
      <w:r w:rsidRPr="000C62A9">
        <w:rPr>
          <w:sz w:val="20"/>
          <w:szCs w:val="20"/>
          <w:u w:val="single"/>
        </w:rPr>
        <w:t>202</w:t>
      </w:r>
      <w:r>
        <w:rPr>
          <w:sz w:val="20"/>
          <w:szCs w:val="20"/>
          <w:u w:val="single"/>
        </w:rPr>
        <w:t>6</w:t>
      </w:r>
    </w:p>
    <w:p w14:paraId="65C2216F" w14:textId="4C335498" w:rsidR="00AE3B6C" w:rsidRPr="000C62A9" w:rsidRDefault="00760BCA" w:rsidP="00AE3B6C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5-2026</w:t>
      </w:r>
      <w:r w:rsidRPr="00073992">
        <w:rPr>
          <w:sz w:val="20"/>
          <w:szCs w:val="20"/>
        </w:rPr>
        <w:t>,</w:t>
      </w:r>
      <w:r>
        <w:rPr>
          <w:sz w:val="20"/>
          <w:szCs w:val="20"/>
        </w:rPr>
        <w:t xml:space="preserve"> ł</w:t>
      </w:r>
      <w:r w:rsidR="00AE3B6C" w:rsidRPr="000C62A9">
        <w:rPr>
          <w:rFonts w:cs="Calibri"/>
          <w:kern w:val="0"/>
          <w:sz w:val="20"/>
          <w:szCs w:val="20"/>
        </w:rPr>
        <w:t xml:space="preserve">ączne nakłady finansowe: </w:t>
      </w:r>
      <w:r w:rsidR="00AE3B6C">
        <w:rPr>
          <w:rFonts w:cs="Calibri"/>
          <w:kern w:val="0"/>
          <w:sz w:val="20"/>
          <w:szCs w:val="20"/>
        </w:rPr>
        <w:t>630.000</w:t>
      </w:r>
      <w:r>
        <w:rPr>
          <w:rFonts w:cs="Calibri"/>
          <w:kern w:val="0"/>
          <w:sz w:val="20"/>
          <w:szCs w:val="20"/>
        </w:rPr>
        <w:t>,00</w:t>
      </w:r>
      <w:r w:rsidR="00AE3B6C" w:rsidRPr="000C62A9">
        <w:rPr>
          <w:rFonts w:cs="Calibri"/>
          <w:kern w:val="0"/>
          <w:sz w:val="20"/>
          <w:szCs w:val="20"/>
        </w:rPr>
        <w:t xml:space="preserve"> zł, limit na </w:t>
      </w:r>
      <w:r w:rsidR="00AE3B6C">
        <w:rPr>
          <w:rFonts w:cs="Calibri"/>
          <w:kern w:val="0"/>
          <w:sz w:val="20"/>
          <w:szCs w:val="20"/>
        </w:rPr>
        <w:t xml:space="preserve">rok </w:t>
      </w:r>
      <w:r w:rsidR="00AE3B6C" w:rsidRPr="000C62A9">
        <w:rPr>
          <w:rFonts w:cs="Calibri"/>
          <w:kern w:val="0"/>
          <w:sz w:val="20"/>
          <w:szCs w:val="20"/>
        </w:rPr>
        <w:t>202</w:t>
      </w:r>
      <w:r w:rsidR="00AE3B6C">
        <w:rPr>
          <w:rFonts w:cs="Calibri"/>
          <w:kern w:val="0"/>
          <w:sz w:val="20"/>
          <w:szCs w:val="20"/>
        </w:rPr>
        <w:t>6</w:t>
      </w:r>
      <w:r w:rsidR="00AE3B6C" w:rsidRPr="000C62A9">
        <w:rPr>
          <w:rFonts w:cs="Calibri"/>
          <w:kern w:val="0"/>
          <w:sz w:val="20"/>
          <w:szCs w:val="20"/>
        </w:rPr>
        <w:t xml:space="preserve"> </w:t>
      </w:r>
      <w:r w:rsidR="00AE3B6C">
        <w:rPr>
          <w:rFonts w:cs="Calibri"/>
          <w:kern w:val="0"/>
          <w:sz w:val="20"/>
          <w:szCs w:val="20"/>
        </w:rPr>
        <w:t>- 370.000,00</w:t>
      </w:r>
      <w:r w:rsidR="00AE3B6C" w:rsidRPr="000C62A9">
        <w:rPr>
          <w:rFonts w:cs="Calibri"/>
          <w:kern w:val="0"/>
          <w:sz w:val="20"/>
          <w:szCs w:val="20"/>
        </w:rPr>
        <w:t xml:space="preserve"> zł</w:t>
      </w:r>
      <w:r w:rsidR="00AE3B6C" w:rsidRPr="00DC249E">
        <w:rPr>
          <w:rFonts w:cs="Calibri"/>
          <w:kern w:val="0"/>
          <w:sz w:val="20"/>
          <w:szCs w:val="20"/>
        </w:rPr>
        <w:t xml:space="preserve">. Limit zobowiązań </w:t>
      </w:r>
      <w:r w:rsidR="00DC249E" w:rsidRPr="00DC249E">
        <w:rPr>
          <w:rFonts w:cs="Calibri"/>
          <w:kern w:val="0"/>
          <w:sz w:val="20"/>
          <w:szCs w:val="20"/>
        </w:rPr>
        <w:t>63.031,97</w:t>
      </w:r>
      <w:r w:rsidR="00AE3B6C" w:rsidRPr="00DC249E">
        <w:rPr>
          <w:rFonts w:cs="Calibri"/>
          <w:kern w:val="0"/>
          <w:sz w:val="20"/>
          <w:szCs w:val="20"/>
        </w:rPr>
        <w:t xml:space="preserve"> zł.</w:t>
      </w:r>
    </w:p>
    <w:p w14:paraId="5B313B68" w14:textId="0D6AE4AA" w:rsidR="00AE3B6C" w:rsidRPr="00073992" w:rsidRDefault="00AE3B6C" w:rsidP="00073992">
      <w:pPr>
        <w:tabs>
          <w:tab w:val="left" w:pos="142"/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AE3B6C">
        <w:rPr>
          <w:rFonts w:cs="Calibri"/>
          <w:kern w:val="0"/>
          <w:sz w:val="20"/>
          <w:szCs w:val="20"/>
        </w:rPr>
        <w:lastRenderedPageBreak/>
        <w:t>Środki na to zadanie w poszczególnych latach są zabezpieczone w dziale: w dziale oświata i wychowanie, rozdział dowożenie uczniów do szkół.</w:t>
      </w:r>
    </w:p>
    <w:p w14:paraId="129CB42E" w14:textId="1DAB999F" w:rsidR="00583130" w:rsidRPr="000C62A9" w:rsidRDefault="00282363" w:rsidP="00665917">
      <w:pPr>
        <w:pStyle w:val="Akapitzlist"/>
        <w:numPr>
          <w:ilvl w:val="0"/>
          <w:numId w:val="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  <w:u w:val="single"/>
        </w:rPr>
      </w:pPr>
      <w:r w:rsidRPr="00282363">
        <w:rPr>
          <w:sz w:val="20"/>
          <w:szCs w:val="20"/>
          <w:u w:val="single"/>
        </w:rPr>
        <w:t>Usługa ubezpieczenia mienia Gminy Rakoniewice oraz podlegających jednostek organizacyjnych na lata 2025-2028 - Zabezpieczenie mienia gminy</w:t>
      </w:r>
      <w:r>
        <w:rPr>
          <w:sz w:val="20"/>
          <w:szCs w:val="20"/>
          <w:u w:val="single"/>
        </w:rPr>
        <w:t>:</w:t>
      </w:r>
    </w:p>
    <w:p w14:paraId="20B9149E" w14:textId="3AE86DDA" w:rsidR="00583130" w:rsidRPr="000C62A9" w:rsidRDefault="00760BC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 w:line="276" w:lineRule="auto"/>
        <w:jc w:val="both"/>
        <w:rPr>
          <w:rFonts w:cs="Calibri"/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</w:t>
      </w:r>
      <w:r w:rsidRPr="00073992">
        <w:rPr>
          <w:sz w:val="20"/>
          <w:szCs w:val="20"/>
        </w:rPr>
        <w:t>-2028,</w:t>
      </w:r>
      <w:r>
        <w:rPr>
          <w:sz w:val="20"/>
          <w:szCs w:val="20"/>
        </w:rPr>
        <w:t xml:space="preserve"> ł</w:t>
      </w:r>
      <w:r w:rsidR="00A94F7C" w:rsidRPr="000C62A9">
        <w:rPr>
          <w:rFonts w:cs="Calibri"/>
          <w:sz w:val="20"/>
          <w:szCs w:val="20"/>
        </w:rPr>
        <w:t xml:space="preserve">ączne nakłady finansowe: </w:t>
      </w:r>
      <w:r w:rsidR="00282363">
        <w:rPr>
          <w:rFonts w:cs="Calibri"/>
          <w:sz w:val="20"/>
          <w:szCs w:val="20"/>
        </w:rPr>
        <w:t>480.000</w:t>
      </w:r>
      <w:r w:rsidR="00A94F7C" w:rsidRPr="000C62A9">
        <w:rPr>
          <w:rFonts w:cs="Calibri"/>
          <w:sz w:val="20"/>
          <w:szCs w:val="20"/>
        </w:rPr>
        <w:t>,00 zł, limit na</w:t>
      </w:r>
      <w:r w:rsidR="00282363">
        <w:rPr>
          <w:rFonts w:cs="Calibri"/>
          <w:sz w:val="20"/>
          <w:szCs w:val="20"/>
        </w:rPr>
        <w:t xml:space="preserve"> rok </w:t>
      </w:r>
      <w:r w:rsidR="00A94F7C" w:rsidRPr="000C62A9">
        <w:rPr>
          <w:rFonts w:cs="Calibri"/>
          <w:sz w:val="20"/>
          <w:szCs w:val="20"/>
        </w:rPr>
        <w:t>202</w:t>
      </w:r>
      <w:r w:rsidR="00282363">
        <w:rPr>
          <w:rFonts w:cs="Calibri"/>
          <w:sz w:val="20"/>
          <w:szCs w:val="20"/>
        </w:rPr>
        <w:t>6</w:t>
      </w:r>
      <w:r w:rsidR="00A94F7C" w:rsidRPr="000C62A9">
        <w:rPr>
          <w:rFonts w:cs="Calibri"/>
          <w:sz w:val="20"/>
          <w:szCs w:val="20"/>
        </w:rPr>
        <w:t xml:space="preserve"> </w:t>
      </w:r>
      <w:r w:rsidR="00282363">
        <w:rPr>
          <w:rFonts w:cs="Calibri"/>
          <w:sz w:val="20"/>
          <w:szCs w:val="20"/>
        </w:rPr>
        <w:t>-</w:t>
      </w:r>
      <w:r w:rsidR="00A94F7C" w:rsidRPr="000C62A9">
        <w:rPr>
          <w:rFonts w:cs="Calibri"/>
          <w:sz w:val="20"/>
          <w:szCs w:val="20"/>
        </w:rPr>
        <w:t xml:space="preserve"> </w:t>
      </w:r>
      <w:r w:rsidR="00282363">
        <w:rPr>
          <w:rFonts w:cs="Calibri"/>
          <w:sz w:val="20"/>
          <w:szCs w:val="20"/>
        </w:rPr>
        <w:t>160.000</w:t>
      </w:r>
      <w:r w:rsidR="00A94F7C" w:rsidRPr="000C62A9">
        <w:rPr>
          <w:rFonts w:cs="Calibri"/>
          <w:sz w:val="20"/>
          <w:szCs w:val="20"/>
        </w:rPr>
        <w:t>,00</w:t>
      </w:r>
      <w:r w:rsidR="00073992">
        <w:rPr>
          <w:rFonts w:cs="Calibri"/>
          <w:sz w:val="20"/>
          <w:szCs w:val="20"/>
        </w:rPr>
        <w:t xml:space="preserve"> </w:t>
      </w:r>
      <w:r w:rsidR="00A94F7C" w:rsidRPr="000C62A9">
        <w:rPr>
          <w:rFonts w:cs="Calibri"/>
          <w:sz w:val="20"/>
          <w:szCs w:val="20"/>
        </w:rPr>
        <w:t>zł</w:t>
      </w:r>
      <w:r w:rsidR="00D27701">
        <w:rPr>
          <w:rFonts w:cs="Calibri"/>
          <w:sz w:val="20"/>
          <w:szCs w:val="20"/>
        </w:rPr>
        <w:t xml:space="preserve">, </w:t>
      </w:r>
      <w:r w:rsidR="00D27701" w:rsidRPr="000C62A9">
        <w:rPr>
          <w:rFonts w:cs="Calibri"/>
          <w:kern w:val="0"/>
          <w:sz w:val="20"/>
          <w:szCs w:val="20"/>
        </w:rPr>
        <w:t xml:space="preserve">limit na </w:t>
      </w:r>
      <w:r w:rsidR="00D27701">
        <w:rPr>
          <w:rFonts w:cs="Calibri"/>
          <w:kern w:val="0"/>
          <w:sz w:val="20"/>
          <w:szCs w:val="20"/>
        </w:rPr>
        <w:t xml:space="preserve">rok </w:t>
      </w:r>
      <w:r w:rsidR="00D27701" w:rsidRPr="000C62A9">
        <w:rPr>
          <w:rFonts w:cs="Calibri"/>
          <w:kern w:val="0"/>
          <w:sz w:val="20"/>
          <w:szCs w:val="20"/>
        </w:rPr>
        <w:t xml:space="preserve">2027 </w:t>
      </w:r>
      <w:r w:rsidR="00D27701">
        <w:rPr>
          <w:rFonts w:cs="Calibri"/>
          <w:kern w:val="0"/>
          <w:sz w:val="20"/>
          <w:szCs w:val="20"/>
        </w:rPr>
        <w:t>–</w:t>
      </w:r>
      <w:r w:rsidR="00D27701" w:rsidRPr="000C62A9">
        <w:rPr>
          <w:rFonts w:cs="Calibri"/>
          <w:kern w:val="0"/>
          <w:sz w:val="20"/>
          <w:szCs w:val="20"/>
        </w:rPr>
        <w:t xml:space="preserve"> </w:t>
      </w:r>
      <w:r w:rsidR="00D27701">
        <w:rPr>
          <w:rFonts w:cs="Calibri"/>
          <w:kern w:val="0"/>
          <w:sz w:val="20"/>
          <w:szCs w:val="20"/>
        </w:rPr>
        <w:t>160.000,00</w:t>
      </w:r>
      <w:r w:rsidR="00D27701" w:rsidRPr="000C62A9">
        <w:rPr>
          <w:rFonts w:cs="Calibri"/>
          <w:kern w:val="0"/>
          <w:sz w:val="20"/>
          <w:szCs w:val="20"/>
        </w:rPr>
        <w:t xml:space="preserve"> zł</w:t>
      </w:r>
      <w:r w:rsidR="00D27701">
        <w:rPr>
          <w:rFonts w:cs="Calibri"/>
          <w:kern w:val="0"/>
          <w:sz w:val="20"/>
          <w:szCs w:val="20"/>
        </w:rPr>
        <w:t xml:space="preserve">, </w:t>
      </w:r>
      <w:r w:rsidR="00D27701" w:rsidRPr="000C62A9">
        <w:rPr>
          <w:rFonts w:cs="Calibri"/>
          <w:kern w:val="0"/>
          <w:sz w:val="20"/>
          <w:szCs w:val="20"/>
        </w:rPr>
        <w:t xml:space="preserve">limit na </w:t>
      </w:r>
      <w:r w:rsidR="00D27701">
        <w:rPr>
          <w:rFonts w:cs="Calibri"/>
          <w:kern w:val="0"/>
          <w:sz w:val="20"/>
          <w:szCs w:val="20"/>
        </w:rPr>
        <w:t xml:space="preserve">rok </w:t>
      </w:r>
      <w:r w:rsidR="00D27701" w:rsidRPr="000C62A9">
        <w:rPr>
          <w:rFonts w:cs="Calibri"/>
          <w:kern w:val="0"/>
          <w:sz w:val="20"/>
          <w:szCs w:val="20"/>
        </w:rPr>
        <w:t>202</w:t>
      </w:r>
      <w:r w:rsidR="00D27701">
        <w:rPr>
          <w:rFonts w:cs="Calibri"/>
          <w:kern w:val="0"/>
          <w:sz w:val="20"/>
          <w:szCs w:val="20"/>
        </w:rPr>
        <w:t>8</w:t>
      </w:r>
      <w:r w:rsidR="00D27701" w:rsidRPr="000C62A9">
        <w:rPr>
          <w:rFonts w:cs="Calibri"/>
          <w:kern w:val="0"/>
          <w:sz w:val="20"/>
          <w:szCs w:val="20"/>
        </w:rPr>
        <w:t xml:space="preserve"> </w:t>
      </w:r>
      <w:r w:rsidR="00D27701">
        <w:rPr>
          <w:rFonts w:cs="Calibri"/>
          <w:kern w:val="0"/>
          <w:sz w:val="20"/>
          <w:szCs w:val="20"/>
        </w:rPr>
        <w:t>–</w:t>
      </w:r>
      <w:r w:rsidR="00D27701" w:rsidRPr="000C62A9">
        <w:rPr>
          <w:rFonts w:cs="Calibri"/>
          <w:kern w:val="0"/>
          <w:sz w:val="20"/>
          <w:szCs w:val="20"/>
        </w:rPr>
        <w:t xml:space="preserve"> </w:t>
      </w:r>
      <w:r w:rsidR="00D27701">
        <w:rPr>
          <w:rFonts w:cs="Calibri"/>
          <w:kern w:val="0"/>
          <w:sz w:val="20"/>
          <w:szCs w:val="20"/>
        </w:rPr>
        <w:t>160.000,00</w:t>
      </w:r>
      <w:r w:rsidR="00D27701" w:rsidRPr="000C62A9">
        <w:rPr>
          <w:rFonts w:cs="Calibri"/>
          <w:kern w:val="0"/>
          <w:sz w:val="20"/>
          <w:szCs w:val="20"/>
        </w:rPr>
        <w:t xml:space="preserve"> zł</w:t>
      </w:r>
      <w:r w:rsidR="00D27701">
        <w:rPr>
          <w:rFonts w:cs="Calibri"/>
          <w:kern w:val="0"/>
          <w:sz w:val="20"/>
          <w:szCs w:val="20"/>
        </w:rPr>
        <w:t>.</w:t>
      </w:r>
      <w:r w:rsidR="00A94F7C" w:rsidRPr="000C62A9">
        <w:rPr>
          <w:rFonts w:cs="Calibri"/>
          <w:sz w:val="20"/>
          <w:szCs w:val="20"/>
        </w:rPr>
        <w:t xml:space="preserve"> Limit zobowiązań </w:t>
      </w:r>
      <w:r w:rsidR="00282363">
        <w:rPr>
          <w:rFonts w:cs="Calibri"/>
          <w:sz w:val="20"/>
          <w:szCs w:val="20"/>
        </w:rPr>
        <w:t>48</w:t>
      </w:r>
      <w:r w:rsidR="00073992">
        <w:rPr>
          <w:rFonts w:cs="Calibri"/>
          <w:sz w:val="20"/>
          <w:szCs w:val="20"/>
        </w:rPr>
        <w:t>0</w:t>
      </w:r>
      <w:r w:rsidR="00282363">
        <w:rPr>
          <w:rFonts w:cs="Calibri"/>
          <w:sz w:val="20"/>
          <w:szCs w:val="20"/>
        </w:rPr>
        <w:t>.000</w:t>
      </w:r>
      <w:r w:rsidR="00A94F7C" w:rsidRPr="000C62A9">
        <w:rPr>
          <w:rFonts w:cs="Calibri"/>
          <w:sz w:val="20"/>
          <w:szCs w:val="20"/>
        </w:rPr>
        <w:t>,00 zł.</w:t>
      </w:r>
    </w:p>
    <w:p w14:paraId="1EBCD6EB" w14:textId="02E0F85C" w:rsidR="00583130" w:rsidRPr="000C62A9" w:rsidRDefault="00A94F7C" w:rsidP="00665917">
      <w:pPr>
        <w:pStyle w:val="Akapitzlist"/>
        <w:numPr>
          <w:ilvl w:val="0"/>
          <w:numId w:val="5"/>
        </w:num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</w:rPr>
      </w:pPr>
      <w:r w:rsidRPr="000C62A9">
        <w:rPr>
          <w:sz w:val="20"/>
          <w:szCs w:val="20"/>
          <w:u w:val="single"/>
        </w:rPr>
        <w:t>Usługa ubezpieczenia NNW członków OSP, kierowcy i pasażerów, ubezpieczenia AC i OC pojazdów na lata 202</w:t>
      </w:r>
      <w:r w:rsidR="00282363">
        <w:rPr>
          <w:sz w:val="20"/>
          <w:szCs w:val="20"/>
          <w:u w:val="single"/>
        </w:rPr>
        <w:t>5</w:t>
      </w:r>
      <w:r w:rsidRPr="000C62A9">
        <w:rPr>
          <w:sz w:val="20"/>
          <w:szCs w:val="20"/>
          <w:u w:val="single"/>
        </w:rPr>
        <w:t>-202</w:t>
      </w:r>
      <w:r w:rsidR="00282363">
        <w:rPr>
          <w:sz w:val="20"/>
          <w:szCs w:val="20"/>
          <w:u w:val="single"/>
        </w:rPr>
        <w:t>8</w:t>
      </w:r>
      <w:r w:rsidRPr="000C62A9">
        <w:rPr>
          <w:sz w:val="20"/>
          <w:szCs w:val="20"/>
          <w:u w:val="single"/>
        </w:rPr>
        <w:t xml:space="preserve"> – zabezpieczenie mienia gminy</w:t>
      </w:r>
      <w:r w:rsidRPr="000C62A9">
        <w:rPr>
          <w:sz w:val="20"/>
          <w:szCs w:val="20"/>
        </w:rPr>
        <w:t xml:space="preserve"> </w:t>
      </w:r>
    </w:p>
    <w:p w14:paraId="4D8DCAB7" w14:textId="7C148EA5" w:rsidR="00583130" w:rsidRPr="000C62A9" w:rsidRDefault="00760BCA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</w:t>
      </w:r>
      <w:r w:rsidRPr="00073992">
        <w:rPr>
          <w:sz w:val="20"/>
          <w:szCs w:val="20"/>
        </w:rPr>
        <w:t>-2028</w:t>
      </w:r>
      <w:r>
        <w:rPr>
          <w:sz w:val="20"/>
          <w:szCs w:val="20"/>
        </w:rPr>
        <w:t>, łą</w:t>
      </w:r>
      <w:r w:rsidR="00A94F7C" w:rsidRPr="000C62A9">
        <w:rPr>
          <w:rFonts w:cs="Calibri"/>
          <w:kern w:val="0"/>
          <w:sz w:val="20"/>
          <w:szCs w:val="20"/>
        </w:rPr>
        <w:t xml:space="preserve">czne nakłady finansowe: </w:t>
      </w:r>
      <w:r w:rsidR="00282363">
        <w:rPr>
          <w:rFonts w:cs="Calibri"/>
          <w:kern w:val="0"/>
          <w:sz w:val="20"/>
          <w:szCs w:val="20"/>
        </w:rPr>
        <w:t>150.000</w:t>
      </w:r>
      <w:r w:rsidR="00A94F7C" w:rsidRPr="000C62A9">
        <w:rPr>
          <w:rFonts w:cs="Calibri"/>
          <w:kern w:val="0"/>
          <w:sz w:val="20"/>
          <w:szCs w:val="20"/>
        </w:rPr>
        <w:t xml:space="preserve">,00 zł, limit na </w:t>
      </w:r>
      <w:r w:rsidR="00282363">
        <w:rPr>
          <w:rFonts w:cs="Calibri"/>
          <w:kern w:val="0"/>
          <w:sz w:val="20"/>
          <w:szCs w:val="20"/>
        </w:rPr>
        <w:t xml:space="preserve">rok </w:t>
      </w:r>
      <w:r w:rsidR="00A94F7C" w:rsidRPr="000C62A9">
        <w:rPr>
          <w:rFonts w:cs="Calibri"/>
          <w:kern w:val="0"/>
          <w:sz w:val="20"/>
          <w:szCs w:val="20"/>
        </w:rPr>
        <w:t>202</w:t>
      </w:r>
      <w:r w:rsidR="00282363">
        <w:rPr>
          <w:rFonts w:cs="Calibri"/>
          <w:kern w:val="0"/>
          <w:sz w:val="20"/>
          <w:szCs w:val="20"/>
        </w:rPr>
        <w:t>6</w:t>
      </w:r>
      <w:r w:rsidR="00A94F7C" w:rsidRPr="000C62A9">
        <w:rPr>
          <w:rFonts w:cs="Calibri"/>
          <w:kern w:val="0"/>
          <w:sz w:val="20"/>
          <w:szCs w:val="20"/>
        </w:rPr>
        <w:t xml:space="preserve"> </w:t>
      </w:r>
      <w:r w:rsidR="00282363">
        <w:rPr>
          <w:rFonts w:cs="Calibri"/>
          <w:kern w:val="0"/>
          <w:sz w:val="20"/>
          <w:szCs w:val="20"/>
        </w:rPr>
        <w:t>–</w:t>
      </w:r>
      <w:r w:rsidR="00A94F7C" w:rsidRPr="000C62A9">
        <w:rPr>
          <w:rFonts w:cs="Calibri"/>
          <w:kern w:val="0"/>
          <w:sz w:val="20"/>
          <w:szCs w:val="20"/>
        </w:rPr>
        <w:t xml:space="preserve"> </w:t>
      </w:r>
      <w:r w:rsidR="00282363">
        <w:rPr>
          <w:rFonts w:cs="Calibri"/>
          <w:kern w:val="0"/>
          <w:sz w:val="20"/>
          <w:szCs w:val="20"/>
        </w:rPr>
        <w:t>50.000</w:t>
      </w:r>
      <w:r w:rsidR="00A94F7C" w:rsidRPr="000C62A9">
        <w:rPr>
          <w:rFonts w:cs="Calibri"/>
          <w:kern w:val="0"/>
          <w:sz w:val="20"/>
          <w:szCs w:val="20"/>
        </w:rPr>
        <w:t>,00 zł</w:t>
      </w:r>
      <w:r w:rsidR="00D27701">
        <w:rPr>
          <w:rFonts w:cs="Calibri"/>
          <w:kern w:val="0"/>
          <w:sz w:val="20"/>
          <w:szCs w:val="20"/>
        </w:rPr>
        <w:t xml:space="preserve">, </w:t>
      </w:r>
      <w:r w:rsidR="00D27701" w:rsidRPr="000C62A9">
        <w:rPr>
          <w:rFonts w:cs="Calibri"/>
          <w:kern w:val="0"/>
          <w:sz w:val="20"/>
          <w:szCs w:val="20"/>
        </w:rPr>
        <w:t xml:space="preserve">limit na </w:t>
      </w:r>
      <w:r w:rsidR="00D27701">
        <w:rPr>
          <w:rFonts w:cs="Calibri"/>
          <w:kern w:val="0"/>
          <w:sz w:val="20"/>
          <w:szCs w:val="20"/>
        </w:rPr>
        <w:t xml:space="preserve">rok </w:t>
      </w:r>
      <w:r w:rsidR="00D27701" w:rsidRPr="000C62A9">
        <w:rPr>
          <w:rFonts w:cs="Calibri"/>
          <w:kern w:val="0"/>
          <w:sz w:val="20"/>
          <w:szCs w:val="20"/>
        </w:rPr>
        <w:t xml:space="preserve">2027 </w:t>
      </w:r>
      <w:r w:rsidR="00D27701">
        <w:rPr>
          <w:rFonts w:cs="Calibri"/>
          <w:kern w:val="0"/>
          <w:sz w:val="20"/>
          <w:szCs w:val="20"/>
        </w:rPr>
        <w:t>–</w:t>
      </w:r>
      <w:r w:rsidR="00D27701" w:rsidRPr="000C62A9">
        <w:rPr>
          <w:rFonts w:cs="Calibri"/>
          <w:kern w:val="0"/>
          <w:sz w:val="20"/>
          <w:szCs w:val="20"/>
        </w:rPr>
        <w:t xml:space="preserve"> </w:t>
      </w:r>
      <w:r w:rsidR="00D27701">
        <w:rPr>
          <w:rFonts w:cs="Calibri"/>
          <w:kern w:val="0"/>
          <w:sz w:val="20"/>
          <w:szCs w:val="20"/>
        </w:rPr>
        <w:t>50.000,00</w:t>
      </w:r>
      <w:r w:rsidR="00D27701" w:rsidRPr="000C62A9">
        <w:rPr>
          <w:rFonts w:cs="Calibri"/>
          <w:kern w:val="0"/>
          <w:sz w:val="20"/>
          <w:szCs w:val="20"/>
        </w:rPr>
        <w:t xml:space="preserve"> zł</w:t>
      </w:r>
      <w:r w:rsidR="00D27701">
        <w:rPr>
          <w:rFonts w:cs="Calibri"/>
          <w:kern w:val="0"/>
          <w:sz w:val="20"/>
          <w:szCs w:val="20"/>
        </w:rPr>
        <w:t xml:space="preserve">, </w:t>
      </w:r>
      <w:r w:rsidR="00D27701" w:rsidRPr="000C62A9">
        <w:rPr>
          <w:rFonts w:cs="Calibri"/>
          <w:kern w:val="0"/>
          <w:sz w:val="20"/>
          <w:szCs w:val="20"/>
        </w:rPr>
        <w:t xml:space="preserve">limit na </w:t>
      </w:r>
      <w:r w:rsidR="00D27701">
        <w:rPr>
          <w:rFonts w:cs="Calibri"/>
          <w:kern w:val="0"/>
          <w:sz w:val="20"/>
          <w:szCs w:val="20"/>
        </w:rPr>
        <w:t xml:space="preserve">rok </w:t>
      </w:r>
      <w:r w:rsidR="00D27701" w:rsidRPr="000C62A9">
        <w:rPr>
          <w:rFonts w:cs="Calibri"/>
          <w:kern w:val="0"/>
          <w:sz w:val="20"/>
          <w:szCs w:val="20"/>
        </w:rPr>
        <w:t>202</w:t>
      </w:r>
      <w:r w:rsidR="00D27701">
        <w:rPr>
          <w:rFonts w:cs="Calibri"/>
          <w:kern w:val="0"/>
          <w:sz w:val="20"/>
          <w:szCs w:val="20"/>
        </w:rPr>
        <w:t>8</w:t>
      </w:r>
      <w:r w:rsidR="00D27701" w:rsidRPr="000C62A9">
        <w:rPr>
          <w:rFonts w:cs="Calibri"/>
          <w:kern w:val="0"/>
          <w:sz w:val="20"/>
          <w:szCs w:val="20"/>
        </w:rPr>
        <w:t xml:space="preserve"> </w:t>
      </w:r>
      <w:r w:rsidR="00D27701">
        <w:rPr>
          <w:rFonts w:cs="Calibri"/>
          <w:kern w:val="0"/>
          <w:sz w:val="20"/>
          <w:szCs w:val="20"/>
        </w:rPr>
        <w:t>–</w:t>
      </w:r>
      <w:r w:rsidR="00D27701" w:rsidRPr="000C62A9">
        <w:rPr>
          <w:rFonts w:cs="Calibri"/>
          <w:kern w:val="0"/>
          <w:sz w:val="20"/>
          <w:szCs w:val="20"/>
        </w:rPr>
        <w:t xml:space="preserve"> </w:t>
      </w:r>
      <w:r w:rsidR="00D27701">
        <w:rPr>
          <w:rFonts w:cs="Calibri"/>
          <w:kern w:val="0"/>
          <w:sz w:val="20"/>
          <w:szCs w:val="20"/>
        </w:rPr>
        <w:t>50.000,00</w:t>
      </w:r>
      <w:r w:rsidR="00D27701" w:rsidRPr="000C62A9">
        <w:rPr>
          <w:rFonts w:cs="Calibri"/>
          <w:kern w:val="0"/>
          <w:sz w:val="20"/>
          <w:szCs w:val="20"/>
        </w:rPr>
        <w:t xml:space="preserve"> zł</w:t>
      </w:r>
      <w:r w:rsidR="00A94F7C" w:rsidRPr="000C62A9">
        <w:rPr>
          <w:rFonts w:cs="Calibri"/>
          <w:kern w:val="0"/>
          <w:sz w:val="20"/>
          <w:szCs w:val="20"/>
        </w:rPr>
        <w:t xml:space="preserve">. Limit zobowiązań: </w:t>
      </w:r>
      <w:r w:rsidR="00282363">
        <w:rPr>
          <w:rFonts w:cs="Calibri"/>
          <w:kern w:val="0"/>
          <w:sz w:val="20"/>
          <w:szCs w:val="20"/>
        </w:rPr>
        <w:t>150.000</w:t>
      </w:r>
      <w:r w:rsidR="00A94F7C" w:rsidRPr="000C62A9">
        <w:rPr>
          <w:rFonts w:cs="Calibri"/>
          <w:kern w:val="0"/>
          <w:sz w:val="20"/>
          <w:szCs w:val="20"/>
        </w:rPr>
        <w:t>,00 zł.</w:t>
      </w:r>
    </w:p>
    <w:p w14:paraId="53A6A40C" w14:textId="77777777" w:rsidR="00583130" w:rsidRPr="000C62A9" w:rsidRDefault="00A94F7C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73992">
        <w:rPr>
          <w:rFonts w:cs="Calibri"/>
          <w:kern w:val="0"/>
          <w:sz w:val="20"/>
          <w:szCs w:val="20"/>
        </w:rPr>
        <w:t>Środki na to zadanie w poszczególnych latach są zabezpieczone w dziale: w dziale bezpieczeństwo publiczne, rozdział ochotnicze straże pożarne.</w:t>
      </w:r>
    </w:p>
    <w:p w14:paraId="08E07F73" w14:textId="7E61159F" w:rsidR="00583130" w:rsidRPr="00073992" w:rsidRDefault="00A94F7C" w:rsidP="00665917">
      <w:pPr>
        <w:tabs>
          <w:tab w:val="left" w:pos="10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073992">
        <w:rPr>
          <w:rFonts w:cs="Calibri"/>
          <w:b/>
          <w:bCs/>
          <w:kern w:val="0"/>
          <w:sz w:val="20"/>
          <w:szCs w:val="20"/>
          <w:shd w:val="clear" w:color="auto" w:fill="FFFFFF"/>
        </w:rPr>
        <w:tab/>
      </w:r>
      <w:r w:rsidR="00073992" w:rsidRPr="00073992">
        <w:rPr>
          <w:rFonts w:cs="Calibri"/>
          <w:b/>
          <w:bCs/>
          <w:kern w:val="0"/>
          <w:sz w:val="20"/>
          <w:szCs w:val="20"/>
          <w:shd w:val="clear" w:color="auto" w:fill="FFFFFF"/>
        </w:rPr>
        <w:t>W</w:t>
      </w:r>
      <w:r w:rsidRPr="00073992">
        <w:rPr>
          <w:rFonts w:cs="Calibri"/>
          <w:b/>
          <w:bCs/>
          <w:kern w:val="0"/>
          <w:sz w:val="20"/>
          <w:szCs w:val="20"/>
          <w:shd w:val="clear" w:color="auto" w:fill="FFFFFF"/>
        </w:rPr>
        <w:t>ydatki majątkowe</w:t>
      </w:r>
    </w:p>
    <w:p w14:paraId="5B96B4E5" w14:textId="56FA37A7" w:rsidR="00665917" w:rsidRPr="00073992" w:rsidRDefault="00665917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after="0"/>
        <w:ind w:left="0" w:firstLine="0"/>
        <w:jc w:val="both"/>
        <w:rPr>
          <w:sz w:val="20"/>
          <w:szCs w:val="20"/>
          <w:u w:val="single"/>
        </w:rPr>
      </w:pPr>
      <w:r w:rsidRPr="00073992">
        <w:rPr>
          <w:sz w:val="20"/>
          <w:szCs w:val="20"/>
          <w:u w:val="single"/>
        </w:rPr>
        <w:t>Rewitalizacja terenów zielonych na terenie Gminy Rakoniewice</w:t>
      </w:r>
    </w:p>
    <w:p w14:paraId="4D2BE20E" w14:textId="4D877463" w:rsidR="00665917" w:rsidRPr="00760BCA" w:rsidRDefault="00665917" w:rsidP="00073992">
      <w:pPr>
        <w:pStyle w:val="Akapitzlist"/>
        <w:tabs>
          <w:tab w:val="left" w:pos="0"/>
          <w:tab w:val="left" w:pos="284"/>
        </w:tabs>
        <w:spacing w:after="0"/>
        <w:ind w:left="0"/>
        <w:jc w:val="both"/>
        <w:rPr>
          <w:sz w:val="20"/>
          <w:szCs w:val="20"/>
        </w:rPr>
      </w:pPr>
      <w:r w:rsidRPr="00073992">
        <w:rPr>
          <w:sz w:val="20"/>
          <w:szCs w:val="20"/>
        </w:rPr>
        <w:t>Zadanie realizowane w latach 2024-2028, łączne nakłady finansowe w kwocie: 1.000.000,00 zł. Limit na rok 2026 - 500.000,00 zł, limit na rok 2027 - 0,</w:t>
      </w:r>
      <w:r w:rsidRPr="00760BCA">
        <w:rPr>
          <w:sz w:val="20"/>
          <w:szCs w:val="20"/>
        </w:rPr>
        <w:t>00 zł, limit na rok 2028 - 500.000,00 zł. Limit zobowiązań 1.000.000,00 zł.</w:t>
      </w:r>
    </w:p>
    <w:p w14:paraId="4226A546" w14:textId="069DCD65" w:rsidR="00665917" w:rsidRDefault="00665917" w:rsidP="00073992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/>
        <w:jc w:val="both"/>
        <w:rPr>
          <w:sz w:val="20"/>
          <w:szCs w:val="20"/>
          <w:u w:val="single"/>
        </w:rPr>
      </w:pPr>
      <w:r w:rsidRPr="00760BCA">
        <w:rPr>
          <w:sz w:val="20"/>
          <w:szCs w:val="20"/>
        </w:rPr>
        <w:t>Środki na to zadanie w poszczególnych latach są zabezpieczone w dziale: w</w:t>
      </w:r>
      <w:r w:rsidR="00760BCA" w:rsidRPr="00760BCA">
        <w:rPr>
          <w:sz w:val="20"/>
          <w:szCs w:val="20"/>
        </w:rPr>
        <w:t xml:space="preserve"> </w:t>
      </w:r>
      <w:r w:rsidRPr="00760BCA">
        <w:rPr>
          <w:sz w:val="20"/>
          <w:szCs w:val="20"/>
        </w:rPr>
        <w:t xml:space="preserve"> dziale</w:t>
      </w:r>
      <w:r w:rsidR="00760BCA" w:rsidRPr="00760BCA">
        <w:rPr>
          <w:sz w:val="20"/>
          <w:szCs w:val="20"/>
        </w:rPr>
        <w:t xml:space="preserve"> gospodarka komunalna i ochrona środowiska, </w:t>
      </w:r>
      <w:r w:rsidRPr="00760BCA">
        <w:rPr>
          <w:sz w:val="20"/>
          <w:szCs w:val="20"/>
        </w:rPr>
        <w:t xml:space="preserve">rozdział </w:t>
      </w:r>
      <w:r w:rsidR="00760BCA" w:rsidRPr="00760BCA">
        <w:rPr>
          <w:sz w:val="20"/>
          <w:szCs w:val="20"/>
        </w:rPr>
        <w:t>utrzymanie zieleni w miastach i gminach</w:t>
      </w:r>
      <w:r w:rsidRPr="00760BCA">
        <w:rPr>
          <w:sz w:val="20"/>
          <w:szCs w:val="20"/>
        </w:rPr>
        <w:t>.</w:t>
      </w:r>
    </w:p>
    <w:p w14:paraId="5D14AC93" w14:textId="2CB70D9F" w:rsidR="00665917" w:rsidRDefault="00665917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right="45" w:firstLine="0"/>
        <w:jc w:val="both"/>
        <w:rPr>
          <w:sz w:val="20"/>
          <w:szCs w:val="20"/>
        </w:rPr>
      </w:pPr>
      <w:r w:rsidRPr="000C62A9">
        <w:rPr>
          <w:sz w:val="20"/>
          <w:szCs w:val="20"/>
          <w:u w:val="single"/>
        </w:rPr>
        <w:t>Budowa kompleksu sportowego Orlik 2024 wraz z budową sprawnościowego placu zabaw w miejscowości Rostarzewo</w:t>
      </w:r>
    </w:p>
    <w:p w14:paraId="547F1186" w14:textId="07013023" w:rsidR="00665917" w:rsidRPr="000C62A9" w:rsidRDefault="00760BCA" w:rsidP="00073992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 w:right="45"/>
        <w:jc w:val="both"/>
        <w:rPr>
          <w:sz w:val="20"/>
          <w:szCs w:val="20"/>
        </w:rPr>
      </w:pPr>
      <w:r w:rsidRPr="00073992">
        <w:rPr>
          <w:sz w:val="20"/>
          <w:szCs w:val="20"/>
        </w:rPr>
        <w:t>Zadanie realizowane w latach 20</w:t>
      </w:r>
      <w:r>
        <w:rPr>
          <w:sz w:val="20"/>
          <w:szCs w:val="20"/>
        </w:rPr>
        <w:t>25-2026</w:t>
      </w:r>
      <w:r w:rsidRPr="00073992">
        <w:rPr>
          <w:sz w:val="20"/>
          <w:szCs w:val="20"/>
        </w:rPr>
        <w:t>,</w:t>
      </w:r>
      <w:r>
        <w:rPr>
          <w:sz w:val="20"/>
          <w:szCs w:val="20"/>
        </w:rPr>
        <w:t xml:space="preserve"> ł</w:t>
      </w:r>
      <w:r w:rsidR="00665917" w:rsidRPr="000C62A9">
        <w:rPr>
          <w:sz w:val="20"/>
          <w:szCs w:val="20"/>
        </w:rPr>
        <w:t>ączne nakłady finansowe</w:t>
      </w:r>
      <w:r w:rsidR="00665917">
        <w:rPr>
          <w:sz w:val="20"/>
          <w:szCs w:val="20"/>
        </w:rPr>
        <w:t xml:space="preserve"> 4.065.276</w:t>
      </w:r>
      <w:r>
        <w:rPr>
          <w:sz w:val="20"/>
          <w:szCs w:val="20"/>
        </w:rPr>
        <w:t>,00</w:t>
      </w:r>
      <w:r w:rsidR="00665917" w:rsidRPr="000C62A9">
        <w:rPr>
          <w:sz w:val="20"/>
          <w:szCs w:val="20"/>
        </w:rPr>
        <w:t xml:space="preserve"> zł, limit na 202</w:t>
      </w:r>
      <w:r w:rsidR="00665917">
        <w:rPr>
          <w:sz w:val="20"/>
          <w:szCs w:val="20"/>
        </w:rPr>
        <w:t>6</w:t>
      </w:r>
      <w:r w:rsidR="00665917" w:rsidRPr="000C62A9">
        <w:rPr>
          <w:sz w:val="20"/>
          <w:szCs w:val="20"/>
        </w:rPr>
        <w:t xml:space="preserve"> </w:t>
      </w:r>
      <w:r w:rsidR="00665917">
        <w:rPr>
          <w:sz w:val="20"/>
          <w:szCs w:val="20"/>
        </w:rPr>
        <w:t>-</w:t>
      </w:r>
      <w:r w:rsidR="00665917" w:rsidRPr="000C62A9">
        <w:rPr>
          <w:sz w:val="20"/>
          <w:szCs w:val="20"/>
        </w:rPr>
        <w:t xml:space="preserve"> </w:t>
      </w:r>
      <w:r w:rsidR="00665917">
        <w:rPr>
          <w:sz w:val="20"/>
          <w:szCs w:val="20"/>
        </w:rPr>
        <w:t>3.257.704</w:t>
      </w:r>
      <w:r w:rsidR="00665917" w:rsidRPr="000C62A9">
        <w:rPr>
          <w:sz w:val="20"/>
          <w:szCs w:val="20"/>
        </w:rPr>
        <w:t xml:space="preserve">,00 zł. Limit zobowiązań: </w:t>
      </w:r>
      <w:r w:rsidR="00665917">
        <w:rPr>
          <w:sz w:val="20"/>
          <w:szCs w:val="20"/>
        </w:rPr>
        <w:t>3.257.704</w:t>
      </w:r>
      <w:r w:rsidR="00665917" w:rsidRPr="000C62A9">
        <w:rPr>
          <w:sz w:val="20"/>
          <w:szCs w:val="20"/>
        </w:rPr>
        <w:t>,00 zł.</w:t>
      </w:r>
    </w:p>
    <w:p w14:paraId="49D74A40" w14:textId="13CD22AF" w:rsidR="00583130" w:rsidRPr="00760BCA" w:rsidRDefault="00760BCA" w:rsidP="00073992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Na wykonanie w/w przedsięwzięcia zabezpieczono po stronie dochodów ś</w:t>
      </w:r>
      <w:r w:rsidR="00665917" w:rsidRPr="00760BCA">
        <w:rPr>
          <w:sz w:val="20"/>
          <w:szCs w:val="20"/>
        </w:rPr>
        <w:t xml:space="preserve">rodki z Ministerstwa Sportu i Turystyki ze środków Funduszu Rozwoju Kultury Fizycznej - kwota dofinansowania </w:t>
      </w:r>
      <w:r w:rsidR="00665917" w:rsidRPr="00760BCA">
        <w:rPr>
          <w:sz w:val="20"/>
          <w:szCs w:val="20"/>
          <w:u w:val="single"/>
        </w:rPr>
        <w:t>1.796.400,00 zł</w:t>
      </w:r>
      <w:r w:rsidRPr="00760BCA">
        <w:rPr>
          <w:sz w:val="20"/>
          <w:szCs w:val="20"/>
          <w:u w:val="single"/>
        </w:rPr>
        <w:t>.</w:t>
      </w:r>
    </w:p>
    <w:p w14:paraId="412E98A9" w14:textId="6477C2AD" w:rsidR="00583130" w:rsidRPr="00C85B0F" w:rsidRDefault="00A94F7C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pacing w:before="60" w:after="0"/>
        <w:ind w:left="0" w:firstLine="0"/>
        <w:jc w:val="both"/>
        <w:rPr>
          <w:sz w:val="20"/>
          <w:szCs w:val="20"/>
        </w:rPr>
      </w:pPr>
      <w:r w:rsidRPr="00665917">
        <w:rPr>
          <w:sz w:val="20"/>
          <w:szCs w:val="20"/>
        </w:rPr>
        <w:t xml:space="preserve"> </w:t>
      </w:r>
      <w:r w:rsidR="00470855" w:rsidRPr="00470855">
        <w:rPr>
          <w:sz w:val="20"/>
          <w:szCs w:val="20"/>
          <w:u w:val="single"/>
        </w:rPr>
        <w:t>Zmiana sposobu użytkowania lodowni na terenie zespołu pałacowo - parkowego w Rakoniewicach na cele kulturalne</w:t>
      </w:r>
    </w:p>
    <w:p w14:paraId="33A36024" w14:textId="45EF4047" w:rsidR="00583130" w:rsidRDefault="00C85B0F" w:rsidP="00C85B0F">
      <w:pPr>
        <w:pStyle w:val="Akapitzlist"/>
        <w:tabs>
          <w:tab w:val="left" w:pos="0"/>
          <w:tab w:val="left" w:pos="284"/>
        </w:tabs>
        <w:spacing w:before="60" w:after="0"/>
        <w:ind w:left="0"/>
        <w:jc w:val="both"/>
        <w:rPr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4</w:t>
      </w:r>
      <w:r w:rsidRPr="00073992">
        <w:rPr>
          <w:sz w:val="20"/>
          <w:szCs w:val="20"/>
        </w:rPr>
        <w:t>-202</w:t>
      </w:r>
      <w:r>
        <w:rPr>
          <w:sz w:val="20"/>
          <w:szCs w:val="20"/>
        </w:rPr>
        <w:t xml:space="preserve">6. </w:t>
      </w:r>
      <w:r w:rsidR="00A94F7C" w:rsidRPr="000C62A9">
        <w:rPr>
          <w:sz w:val="20"/>
          <w:szCs w:val="20"/>
        </w:rPr>
        <w:t xml:space="preserve">Łączne nakłady finansowe </w:t>
      </w:r>
      <w:r w:rsidR="00470855">
        <w:rPr>
          <w:sz w:val="20"/>
          <w:szCs w:val="20"/>
        </w:rPr>
        <w:t>361.476</w:t>
      </w:r>
      <w:r>
        <w:rPr>
          <w:sz w:val="20"/>
          <w:szCs w:val="20"/>
        </w:rPr>
        <w:t>,00</w:t>
      </w:r>
      <w:r w:rsidR="00A94F7C" w:rsidRPr="000C62A9">
        <w:rPr>
          <w:sz w:val="20"/>
          <w:szCs w:val="20"/>
        </w:rPr>
        <w:t xml:space="preserve"> zł, limit na </w:t>
      </w:r>
      <w:r w:rsidR="00470855">
        <w:rPr>
          <w:sz w:val="20"/>
          <w:szCs w:val="20"/>
        </w:rPr>
        <w:t xml:space="preserve">rok </w:t>
      </w:r>
      <w:r w:rsidR="00A94F7C" w:rsidRPr="000C62A9">
        <w:rPr>
          <w:sz w:val="20"/>
          <w:szCs w:val="20"/>
        </w:rPr>
        <w:t>202</w:t>
      </w:r>
      <w:r w:rsidR="00470855">
        <w:rPr>
          <w:sz w:val="20"/>
          <w:szCs w:val="20"/>
        </w:rPr>
        <w:t>6</w:t>
      </w:r>
      <w:r w:rsidR="00A94F7C" w:rsidRPr="000C62A9">
        <w:rPr>
          <w:sz w:val="20"/>
          <w:szCs w:val="20"/>
        </w:rPr>
        <w:t xml:space="preserve"> </w:t>
      </w:r>
      <w:r w:rsidR="00470855">
        <w:rPr>
          <w:sz w:val="20"/>
          <w:szCs w:val="20"/>
        </w:rPr>
        <w:t>-</w:t>
      </w:r>
      <w:r w:rsidR="00A94F7C" w:rsidRPr="000C62A9">
        <w:rPr>
          <w:sz w:val="20"/>
          <w:szCs w:val="20"/>
        </w:rPr>
        <w:t xml:space="preserve"> </w:t>
      </w:r>
      <w:r w:rsidR="00470855">
        <w:rPr>
          <w:sz w:val="20"/>
          <w:szCs w:val="20"/>
        </w:rPr>
        <w:t>340.000</w:t>
      </w:r>
      <w:r>
        <w:rPr>
          <w:sz w:val="20"/>
          <w:szCs w:val="20"/>
        </w:rPr>
        <w:t>,00</w:t>
      </w:r>
      <w:r w:rsidR="00A94F7C" w:rsidRPr="000C62A9">
        <w:rPr>
          <w:sz w:val="20"/>
          <w:szCs w:val="20"/>
        </w:rPr>
        <w:t xml:space="preserve"> zł. Limit zobowiązań</w:t>
      </w:r>
      <w:r w:rsidR="00470855">
        <w:rPr>
          <w:sz w:val="20"/>
          <w:szCs w:val="20"/>
        </w:rPr>
        <w:t xml:space="preserve"> 340.000</w:t>
      </w:r>
      <w:r>
        <w:rPr>
          <w:sz w:val="20"/>
          <w:szCs w:val="20"/>
        </w:rPr>
        <w:t>,00</w:t>
      </w:r>
      <w:r w:rsidR="00A94F7C" w:rsidRPr="000C62A9">
        <w:rPr>
          <w:sz w:val="20"/>
          <w:szCs w:val="20"/>
        </w:rPr>
        <w:t xml:space="preserve"> zł.</w:t>
      </w:r>
    </w:p>
    <w:p w14:paraId="3C65A9BA" w14:textId="2F87E554" w:rsidR="00C85B0F" w:rsidRPr="000C62A9" w:rsidRDefault="00C85B0F" w:rsidP="00C85B0F">
      <w:pPr>
        <w:pStyle w:val="Akapitzlist"/>
        <w:tabs>
          <w:tab w:val="left" w:pos="284"/>
          <w:tab w:val="left" w:pos="360"/>
        </w:tabs>
        <w:suppressAutoHyphens w:val="0"/>
        <w:spacing w:after="0"/>
        <w:ind w:left="0"/>
        <w:jc w:val="both"/>
        <w:textAlignment w:val="auto"/>
        <w:rPr>
          <w:sz w:val="20"/>
          <w:szCs w:val="20"/>
        </w:rPr>
      </w:pPr>
      <w:r w:rsidRPr="00C85B0F">
        <w:rPr>
          <w:sz w:val="20"/>
          <w:szCs w:val="20"/>
        </w:rPr>
        <w:t>Środki na to zadanie w poszczególnych latach są zabezpieczone w dziale: kultura i ochrona dziedzictwa narodowego, rozdział ochrona zabytków i opieka nad zabytkami.</w:t>
      </w:r>
    </w:p>
    <w:p w14:paraId="46EFC332" w14:textId="77777777" w:rsidR="00073992" w:rsidRPr="00073992" w:rsidRDefault="00073992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firstLine="0"/>
        <w:jc w:val="both"/>
        <w:rPr>
          <w:sz w:val="20"/>
          <w:szCs w:val="20"/>
        </w:rPr>
      </w:pPr>
      <w:r w:rsidRPr="00073992">
        <w:rPr>
          <w:sz w:val="20"/>
          <w:szCs w:val="20"/>
          <w:u w:val="single"/>
        </w:rPr>
        <w:t>Projekt oświetlenia w m. Ruchocice</w:t>
      </w:r>
    </w:p>
    <w:p w14:paraId="496C237C" w14:textId="53544873" w:rsidR="00073992" w:rsidRPr="00073992" w:rsidRDefault="00C85B0F" w:rsidP="00073992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/>
        <w:jc w:val="both"/>
        <w:rPr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</w:t>
      </w:r>
      <w:r w:rsidRPr="00073992">
        <w:rPr>
          <w:sz w:val="20"/>
          <w:szCs w:val="20"/>
        </w:rPr>
        <w:t>-202</w:t>
      </w:r>
      <w:r>
        <w:rPr>
          <w:sz w:val="20"/>
          <w:szCs w:val="20"/>
        </w:rPr>
        <w:t xml:space="preserve">7. </w:t>
      </w:r>
      <w:r w:rsidR="00073992">
        <w:rPr>
          <w:sz w:val="20"/>
          <w:szCs w:val="20"/>
        </w:rPr>
        <w:t>Ł</w:t>
      </w:r>
      <w:r w:rsidR="00073992" w:rsidRPr="00665917">
        <w:rPr>
          <w:sz w:val="20"/>
          <w:szCs w:val="20"/>
        </w:rPr>
        <w:t xml:space="preserve">ączne nakłady finansowe </w:t>
      </w:r>
      <w:r w:rsidR="00073992">
        <w:rPr>
          <w:sz w:val="20"/>
          <w:szCs w:val="20"/>
        </w:rPr>
        <w:t>15.000</w:t>
      </w:r>
      <w:r w:rsidR="00073992" w:rsidRPr="00665917">
        <w:rPr>
          <w:sz w:val="20"/>
          <w:szCs w:val="20"/>
        </w:rPr>
        <w:t xml:space="preserve">,00 zł, limit </w:t>
      </w:r>
      <w:r w:rsidR="00073992">
        <w:rPr>
          <w:sz w:val="20"/>
          <w:szCs w:val="20"/>
        </w:rPr>
        <w:t xml:space="preserve">na rok </w:t>
      </w:r>
      <w:r w:rsidR="00073992" w:rsidRPr="00665917">
        <w:rPr>
          <w:sz w:val="20"/>
          <w:szCs w:val="20"/>
        </w:rPr>
        <w:t>202</w:t>
      </w:r>
      <w:r w:rsidR="00073992">
        <w:rPr>
          <w:sz w:val="20"/>
          <w:szCs w:val="20"/>
        </w:rPr>
        <w:t>6</w:t>
      </w:r>
      <w:r w:rsidR="00073992" w:rsidRPr="00665917">
        <w:rPr>
          <w:sz w:val="20"/>
          <w:szCs w:val="20"/>
        </w:rPr>
        <w:t xml:space="preserve"> </w:t>
      </w:r>
      <w:r w:rsidR="00073992">
        <w:rPr>
          <w:sz w:val="20"/>
          <w:szCs w:val="20"/>
        </w:rPr>
        <w:t>-</w:t>
      </w:r>
      <w:r w:rsidR="00073992" w:rsidRPr="00665917">
        <w:rPr>
          <w:sz w:val="20"/>
          <w:szCs w:val="20"/>
        </w:rPr>
        <w:t xml:space="preserve"> 0,00 zł, </w:t>
      </w:r>
      <w:r w:rsidR="00073992" w:rsidRPr="000C62A9">
        <w:rPr>
          <w:sz w:val="20"/>
          <w:szCs w:val="20"/>
        </w:rPr>
        <w:t xml:space="preserve">limit na </w:t>
      </w:r>
      <w:r w:rsidR="00073992">
        <w:rPr>
          <w:sz w:val="20"/>
          <w:szCs w:val="20"/>
        </w:rPr>
        <w:t xml:space="preserve">rok </w:t>
      </w:r>
      <w:r w:rsidR="00073992" w:rsidRPr="000C62A9">
        <w:rPr>
          <w:sz w:val="20"/>
          <w:szCs w:val="20"/>
        </w:rPr>
        <w:t>202</w:t>
      </w:r>
      <w:r w:rsidR="00073992">
        <w:rPr>
          <w:sz w:val="20"/>
          <w:szCs w:val="20"/>
        </w:rPr>
        <w:t>7</w:t>
      </w:r>
      <w:r w:rsidR="00073992" w:rsidRPr="000C62A9">
        <w:rPr>
          <w:sz w:val="20"/>
          <w:szCs w:val="20"/>
        </w:rPr>
        <w:t xml:space="preserve"> </w:t>
      </w:r>
      <w:r w:rsidR="00073992">
        <w:rPr>
          <w:sz w:val="20"/>
          <w:szCs w:val="20"/>
        </w:rPr>
        <w:t>-</w:t>
      </w:r>
      <w:r w:rsidR="00073992" w:rsidRPr="000C62A9">
        <w:rPr>
          <w:sz w:val="20"/>
          <w:szCs w:val="20"/>
        </w:rPr>
        <w:t xml:space="preserve"> </w:t>
      </w:r>
      <w:r w:rsidR="00073992">
        <w:rPr>
          <w:sz w:val="20"/>
          <w:szCs w:val="20"/>
        </w:rPr>
        <w:t>15.000,00</w:t>
      </w:r>
      <w:r w:rsidR="00073992" w:rsidRPr="000C62A9">
        <w:rPr>
          <w:sz w:val="20"/>
          <w:szCs w:val="20"/>
        </w:rPr>
        <w:t xml:space="preserve"> zł</w:t>
      </w:r>
      <w:r w:rsidR="00073992">
        <w:rPr>
          <w:sz w:val="20"/>
          <w:szCs w:val="20"/>
        </w:rPr>
        <w:t>. L</w:t>
      </w:r>
      <w:r w:rsidR="00073992" w:rsidRPr="000C62A9">
        <w:rPr>
          <w:sz w:val="20"/>
          <w:szCs w:val="20"/>
        </w:rPr>
        <w:t xml:space="preserve">imit zobowiązań </w:t>
      </w:r>
      <w:r w:rsidR="00073992">
        <w:rPr>
          <w:sz w:val="20"/>
          <w:szCs w:val="20"/>
        </w:rPr>
        <w:t>15.000</w:t>
      </w:r>
      <w:r w:rsidR="00073992" w:rsidRPr="000C62A9">
        <w:rPr>
          <w:sz w:val="20"/>
          <w:szCs w:val="20"/>
        </w:rPr>
        <w:t>,00 zł.</w:t>
      </w:r>
    </w:p>
    <w:p w14:paraId="6BEC346A" w14:textId="695A5497" w:rsidR="00583130" w:rsidRPr="000C62A9" w:rsidRDefault="00470855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ind w:left="0" w:firstLine="0"/>
        <w:jc w:val="both"/>
        <w:rPr>
          <w:sz w:val="20"/>
          <w:szCs w:val="20"/>
        </w:rPr>
      </w:pPr>
      <w:r w:rsidRPr="00470855">
        <w:rPr>
          <w:sz w:val="20"/>
          <w:szCs w:val="20"/>
          <w:u w:val="single"/>
        </w:rPr>
        <w:t>Przebudowa drogi gminnej nr 544060 ul. Wiśniowej w Rakoniewicach</w:t>
      </w:r>
      <w:r w:rsidRPr="000C62A9">
        <w:rPr>
          <w:sz w:val="20"/>
          <w:szCs w:val="20"/>
        </w:rPr>
        <w:t xml:space="preserve"> </w:t>
      </w:r>
    </w:p>
    <w:p w14:paraId="7996F7E9" w14:textId="7867E6CD" w:rsidR="00583130" w:rsidRPr="000C62A9" w:rsidRDefault="00C85B0F" w:rsidP="00C85B0F">
      <w:p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spacing w:after="0" w:line="276" w:lineRule="auto"/>
        <w:ind w:right="45"/>
        <w:jc w:val="both"/>
        <w:rPr>
          <w:rFonts w:cs="Calibri"/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</w:t>
      </w:r>
      <w:r w:rsidRPr="00073992">
        <w:rPr>
          <w:sz w:val="20"/>
          <w:szCs w:val="20"/>
        </w:rPr>
        <w:t>-202</w:t>
      </w:r>
      <w:r>
        <w:rPr>
          <w:sz w:val="20"/>
          <w:szCs w:val="20"/>
        </w:rPr>
        <w:t xml:space="preserve">6. </w:t>
      </w:r>
      <w:r w:rsidR="00A94F7C" w:rsidRPr="000C62A9">
        <w:rPr>
          <w:rFonts w:cs="Calibri"/>
          <w:kern w:val="0"/>
          <w:sz w:val="20"/>
          <w:szCs w:val="20"/>
        </w:rPr>
        <w:t xml:space="preserve">Łączne nakłady finansowe </w:t>
      </w:r>
      <w:r w:rsidR="00470855">
        <w:rPr>
          <w:rFonts w:cs="Calibri"/>
          <w:kern w:val="0"/>
          <w:sz w:val="20"/>
          <w:szCs w:val="20"/>
        </w:rPr>
        <w:t>2.113.994,11</w:t>
      </w:r>
      <w:r w:rsidR="00A94F7C" w:rsidRPr="000C62A9">
        <w:rPr>
          <w:rFonts w:cs="Calibri"/>
          <w:kern w:val="0"/>
          <w:sz w:val="20"/>
          <w:szCs w:val="20"/>
        </w:rPr>
        <w:t xml:space="preserve"> zł, limit na </w:t>
      </w:r>
      <w:r w:rsidR="00470855">
        <w:rPr>
          <w:rFonts w:cs="Calibri"/>
          <w:kern w:val="0"/>
          <w:sz w:val="20"/>
          <w:szCs w:val="20"/>
        </w:rPr>
        <w:t xml:space="preserve">rok </w:t>
      </w:r>
      <w:r w:rsidR="00A94F7C" w:rsidRPr="000C62A9">
        <w:rPr>
          <w:rFonts w:cs="Calibri"/>
          <w:kern w:val="0"/>
          <w:sz w:val="20"/>
          <w:szCs w:val="20"/>
        </w:rPr>
        <w:t>202</w:t>
      </w:r>
      <w:r w:rsidR="00470855">
        <w:rPr>
          <w:rFonts w:cs="Calibri"/>
          <w:kern w:val="0"/>
          <w:sz w:val="20"/>
          <w:szCs w:val="20"/>
        </w:rPr>
        <w:t>6</w:t>
      </w:r>
      <w:r w:rsidR="00A94F7C" w:rsidRPr="000C62A9">
        <w:rPr>
          <w:rFonts w:cs="Calibri"/>
          <w:kern w:val="0"/>
          <w:sz w:val="20"/>
          <w:szCs w:val="20"/>
        </w:rPr>
        <w:t xml:space="preserve"> </w:t>
      </w:r>
      <w:r w:rsidR="00470855">
        <w:rPr>
          <w:rFonts w:cs="Calibri"/>
          <w:kern w:val="0"/>
          <w:sz w:val="20"/>
          <w:szCs w:val="20"/>
        </w:rPr>
        <w:t>-</w:t>
      </w:r>
      <w:r w:rsidR="00A94F7C" w:rsidRPr="000C62A9">
        <w:rPr>
          <w:rFonts w:cs="Calibri"/>
          <w:kern w:val="0"/>
          <w:sz w:val="20"/>
          <w:szCs w:val="20"/>
        </w:rPr>
        <w:t xml:space="preserve"> </w:t>
      </w:r>
      <w:r w:rsidR="00470855">
        <w:rPr>
          <w:rFonts w:cs="Calibri"/>
          <w:kern w:val="0"/>
          <w:sz w:val="20"/>
          <w:szCs w:val="20"/>
        </w:rPr>
        <w:t>2.100.000,00</w:t>
      </w:r>
      <w:r w:rsidR="00A94F7C" w:rsidRPr="000C62A9">
        <w:rPr>
          <w:rFonts w:cs="Calibri"/>
          <w:kern w:val="0"/>
          <w:sz w:val="20"/>
          <w:szCs w:val="20"/>
        </w:rPr>
        <w:t xml:space="preserve"> zł. Limit zobowiązań</w:t>
      </w:r>
      <w:r w:rsidR="00470855">
        <w:rPr>
          <w:rFonts w:cs="Calibri"/>
          <w:kern w:val="0"/>
          <w:sz w:val="20"/>
          <w:szCs w:val="20"/>
        </w:rPr>
        <w:t xml:space="preserve"> 2.100.000,00</w:t>
      </w:r>
      <w:r w:rsidR="00A94F7C" w:rsidRPr="000C62A9">
        <w:rPr>
          <w:rFonts w:cs="Calibri"/>
          <w:kern w:val="0"/>
          <w:sz w:val="20"/>
          <w:szCs w:val="20"/>
        </w:rPr>
        <w:t xml:space="preserve"> zł.</w:t>
      </w:r>
      <w:r w:rsidRPr="00C85B0F">
        <w:t xml:space="preserve"> </w:t>
      </w:r>
      <w:r w:rsidRPr="00C85B0F">
        <w:rPr>
          <w:rFonts w:cs="Calibri"/>
          <w:kern w:val="0"/>
          <w:sz w:val="20"/>
          <w:szCs w:val="20"/>
        </w:rPr>
        <w:t>Środki na to zadanie w poszczególnych latach są zabezpieczone w dziale: transport i łączność, rozdzia</w:t>
      </w:r>
      <w:r>
        <w:rPr>
          <w:rFonts w:cs="Calibri"/>
          <w:kern w:val="0"/>
          <w:sz w:val="20"/>
          <w:szCs w:val="20"/>
        </w:rPr>
        <w:t>ł:</w:t>
      </w:r>
      <w:r w:rsidRPr="00C85B0F">
        <w:rPr>
          <w:rFonts w:cs="Calibri"/>
          <w:kern w:val="0"/>
          <w:sz w:val="20"/>
          <w:szCs w:val="20"/>
        </w:rPr>
        <w:t xml:space="preserve"> drogi publiczne gminne</w:t>
      </w:r>
      <w:r>
        <w:rPr>
          <w:rFonts w:cs="Calibri"/>
          <w:kern w:val="0"/>
          <w:sz w:val="20"/>
          <w:szCs w:val="20"/>
        </w:rPr>
        <w:t>.</w:t>
      </w:r>
    </w:p>
    <w:p w14:paraId="4D1901C7" w14:textId="450E3C09" w:rsidR="00470855" w:rsidRDefault="00470855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60" w:after="0"/>
        <w:ind w:left="0" w:right="45" w:firstLine="0"/>
        <w:jc w:val="both"/>
        <w:rPr>
          <w:sz w:val="20"/>
          <w:szCs w:val="20"/>
        </w:rPr>
      </w:pPr>
      <w:r w:rsidRPr="00470855">
        <w:rPr>
          <w:sz w:val="20"/>
          <w:szCs w:val="20"/>
          <w:u w:val="single"/>
        </w:rPr>
        <w:t>Udzielenie pomocy finansowej dla Powiatu Grodziskiego z przeznaczeniem na zakup busów przystosowanych do przewozu osób niepełnosprawnych dla Warsztatów Terapii Zajęciowej  z terenu powiatu grodziskiego</w:t>
      </w:r>
    </w:p>
    <w:p w14:paraId="2FB1A09A" w14:textId="79A076BD" w:rsidR="00583130" w:rsidRDefault="00C85B0F" w:rsidP="00073992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 w:right="45"/>
        <w:jc w:val="both"/>
        <w:rPr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</w:t>
      </w:r>
      <w:r w:rsidRPr="00073992">
        <w:rPr>
          <w:sz w:val="20"/>
          <w:szCs w:val="20"/>
        </w:rPr>
        <w:t>-202</w:t>
      </w:r>
      <w:r>
        <w:rPr>
          <w:sz w:val="20"/>
          <w:szCs w:val="20"/>
        </w:rPr>
        <w:t xml:space="preserve">6. </w:t>
      </w:r>
      <w:r w:rsidR="00A94F7C" w:rsidRPr="00470855">
        <w:rPr>
          <w:sz w:val="20"/>
          <w:szCs w:val="20"/>
        </w:rPr>
        <w:t xml:space="preserve">Łączne nakłady finansowe </w:t>
      </w:r>
      <w:r w:rsidR="00470855">
        <w:rPr>
          <w:sz w:val="20"/>
          <w:szCs w:val="20"/>
        </w:rPr>
        <w:t>28.768,00</w:t>
      </w:r>
      <w:r w:rsidR="00A94F7C" w:rsidRPr="00470855">
        <w:rPr>
          <w:sz w:val="20"/>
          <w:szCs w:val="20"/>
        </w:rPr>
        <w:t xml:space="preserve"> zł, limit na </w:t>
      </w:r>
      <w:r w:rsidR="00470855">
        <w:rPr>
          <w:sz w:val="20"/>
          <w:szCs w:val="20"/>
        </w:rPr>
        <w:t xml:space="preserve">rok </w:t>
      </w:r>
      <w:r w:rsidR="00A94F7C" w:rsidRPr="00470855">
        <w:rPr>
          <w:sz w:val="20"/>
          <w:szCs w:val="20"/>
        </w:rPr>
        <w:t>202</w:t>
      </w:r>
      <w:r w:rsidR="00470855">
        <w:rPr>
          <w:sz w:val="20"/>
          <w:szCs w:val="20"/>
        </w:rPr>
        <w:t>6</w:t>
      </w:r>
      <w:r w:rsidR="00A94F7C" w:rsidRPr="00470855">
        <w:rPr>
          <w:sz w:val="20"/>
          <w:szCs w:val="20"/>
        </w:rPr>
        <w:t xml:space="preserve"> </w:t>
      </w:r>
      <w:r w:rsidR="00470855">
        <w:rPr>
          <w:sz w:val="20"/>
          <w:szCs w:val="20"/>
        </w:rPr>
        <w:t>-</w:t>
      </w:r>
      <w:r w:rsidR="00A94F7C" w:rsidRPr="00470855">
        <w:rPr>
          <w:sz w:val="20"/>
          <w:szCs w:val="20"/>
        </w:rPr>
        <w:t xml:space="preserve"> </w:t>
      </w:r>
      <w:r w:rsidR="00470855">
        <w:rPr>
          <w:sz w:val="20"/>
          <w:szCs w:val="20"/>
        </w:rPr>
        <w:t>28.768</w:t>
      </w:r>
      <w:r w:rsidR="00A94F7C" w:rsidRPr="00470855">
        <w:rPr>
          <w:sz w:val="20"/>
          <w:szCs w:val="20"/>
        </w:rPr>
        <w:t xml:space="preserve">,00 zł. Limit zobowiązań </w:t>
      </w:r>
      <w:r w:rsidR="00470855">
        <w:rPr>
          <w:sz w:val="20"/>
          <w:szCs w:val="20"/>
        </w:rPr>
        <w:t>28.768</w:t>
      </w:r>
      <w:r w:rsidR="00A94F7C" w:rsidRPr="00470855">
        <w:rPr>
          <w:sz w:val="20"/>
          <w:szCs w:val="20"/>
        </w:rPr>
        <w:t>,00 zł.</w:t>
      </w:r>
    </w:p>
    <w:p w14:paraId="0E9503B8" w14:textId="6E44A7D1" w:rsidR="00470855" w:rsidRPr="00470855" w:rsidRDefault="00C85B0F" w:rsidP="00073992">
      <w:pPr>
        <w:pStyle w:val="Akapitzlist"/>
        <w:tabs>
          <w:tab w:val="left" w:pos="0"/>
          <w:tab w:val="left" w:pos="28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0" w:right="45"/>
        <w:jc w:val="both"/>
        <w:rPr>
          <w:sz w:val="20"/>
          <w:szCs w:val="20"/>
        </w:rPr>
      </w:pPr>
      <w:r w:rsidRPr="00C85B0F">
        <w:rPr>
          <w:sz w:val="20"/>
          <w:szCs w:val="20"/>
        </w:rPr>
        <w:t>Środki na to zadanie w poszczególnych latach są zabezpieczone w dziale:</w:t>
      </w:r>
      <w:r>
        <w:rPr>
          <w:sz w:val="20"/>
          <w:szCs w:val="20"/>
        </w:rPr>
        <w:t xml:space="preserve"> </w:t>
      </w:r>
      <w:r w:rsidR="005F332B">
        <w:rPr>
          <w:sz w:val="20"/>
          <w:szCs w:val="20"/>
        </w:rPr>
        <w:t>pozostałe zadania w zakresie polityki społecznej , rozdział: rehabilitacja zawodowa i społeczna osób niepełnosprawnych.</w:t>
      </w:r>
    </w:p>
    <w:p w14:paraId="7815CDC3" w14:textId="77777777" w:rsidR="00470855" w:rsidRDefault="00470855" w:rsidP="00073992">
      <w:pPr>
        <w:pStyle w:val="Akapitzlist"/>
        <w:numPr>
          <w:ilvl w:val="0"/>
          <w:numId w:val="13"/>
        </w:numPr>
        <w:tabs>
          <w:tab w:val="left" w:pos="0"/>
          <w:tab w:val="left" w:pos="284"/>
        </w:tabs>
        <w:suppressAutoHyphens w:val="0"/>
        <w:spacing w:before="60" w:after="0"/>
        <w:ind w:left="0" w:firstLine="0"/>
        <w:jc w:val="both"/>
        <w:textAlignment w:val="auto"/>
        <w:rPr>
          <w:sz w:val="20"/>
          <w:szCs w:val="20"/>
        </w:rPr>
      </w:pPr>
      <w:r w:rsidRPr="00470855">
        <w:rPr>
          <w:sz w:val="20"/>
          <w:szCs w:val="20"/>
          <w:u w:val="single"/>
        </w:rPr>
        <w:t>Termomodernizacja budynku Szkoły Podstawowej w Rakoniewicach</w:t>
      </w:r>
    </w:p>
    <w:p w14:paraId="4269E4C7" w14:textId="0737E62D" w:rsidR="00583130" w:rsidRPr="000C62A9" w:rsidRDefault="005F332B" w:rsidP="00073992">
      <w:pPr>
        <w:pStyle w:val="Akapitzlist"/>
        <w:tabs>
          <w:tab w:val="left" w:pos="0"/>
          <w:tab w:val="left" w:pos="284"/>
        </w:tabs>
        <w:suppressAutoHyphens w:val="0"/>
        <w:spacing w:after="0"/>
        <w:ind w:left="0"/>
        <w:jc w:val="both"/>
        <w:textAlignment w:val="auto"/>
        <w:rPr>
          <w:sz w:val="20"/>
          <w:szCs w:val="20"/>
        </w:rPr>
      </w:pPr>
      <w:r w:rsidRPr="00073992">
        <w:rPr>
          <w:sz w:val="20"/>
          <w:szCs w:val="20"/>
        </w:rPr>
        <w:t>Zadanie realizowane w latach 202</w:t>
      </w:r>
      <w:r>
        <w:rPr>
          <w:sz w:val="20"/>
          <w:szCs w:val="20"/>
        </w:rPr>
        <w:t>5</w:t>
      </w:r>
      <w:r w:rsidRPr="00073992">
        <w:rPr>
          <w:sz w:val="20"/>
          <w:szCs w:val="20"/>
        </w:rPr>
        <w:t>-202</w:t>
      </w:r>
      <w:r>
        <w:rPr>
          <w:sz w:val="20"/>
          <w:szCs w:val="20"/>
        </w:rPr>
        <w:t xml:space="preserve">6. </w:t>
      </w:r>
      <w:r w:rsidR="00A94F7C" w:rsidRPr="000C62A9">
        <w:rPr>
          <w:sz w:val="20"/>
          <w:szCs w:val="20"/>
        </w:rPr>
        <w:t>Łączne nakłady finansowe</w:t>
      </w:r>
      <w:r w:rsidR="00470855">
        <w:rPr>
          <w:sz w:val="20"/>
          <w:szCs w:val="20"/>
        </w:rPr>
        <w:t xml:space="preserve"> 2.005.000</w:t>
      </w:r>
      <w:r w:rsidR="00A94F7C" w:rsidRPr="000C62A9">
        <w:rPr>
          <w:sz w:val="20"/>
          <w:szCs w:val="20"/>
        </w:rPr>
        <w:t xml:space="preserve">,00 zł, limit na </w:t>
      </w:r>
      <w:r w:rsidR="00470855">
        <w:rPr>
          <w:sz w:val="20"/>
          <w:szCs w:val="20"/>
        </w:rPr>
        <w:t xml:space="preserve">rok </w:t>
      </w:r>
      <w:r w:rsidR="00A94F7C" w:rsidRPr="000C62A9">
        <w:rPr>
          <w:sz w:val="20"/>
          <w:szCs w:val="20"/>
        </w:rPr>
        <w:t>202</w:t>
      </w:r>
      <w:r w:rsidR="00470855">
        <w:rPr>
          <w:sz w:val="20"/>
          <w:szCs w:val="20"/>
        </w:rPr>
        <w:t>6</w:t>
      </w:r>
      <w:r w:rsidR="00A94F7C" w:rsidRPr="000C62A9">
        <w:rPr>
          <w:sz w:val="20"/>
          <w:szCs w:val="20"/>
        </w:rPr>
        <w:t xml:space="preserve"> </w:t>
      </w:r>
      <w:r w:rsidR="00470855">
        <w:rPr>
          <w:sz w:val="20"/>
          <w:szCs w:val="20"/>
        </w:rPr>
        <w:t>-</w:t>
      </w:r>
      <w:r w:rsidR="00A94F7C" w:rsidRPr="000C62A9">
        <w:rPr>
          <w:sz w:val="20"/>
          <w:szCs w:val="20"/>
        </w:rPr>
        <w:t xml:space="preserve"> </w:t>
      </w:r>
      <w:r w:rsidR="00470855">
        <w:rPr>
          <w:sz w:val="20"/>
          <w:szCs w:val="20"/>
        </w:rPr>
        <w:t>2.000.000</w:t>
      </w:r>
      <w:r w:rsidR="00A94F7C" w:rsidRPr="000C62A9">
        <w:rPr>
          <w:sz w:val="20"/>
          <w:szCs w:val="20"/>
        </w:rPr>
        <w:t xml:space="preserve">,00 zł. Limit zobowiązań: </w:t>
      </w:r>
      <w:r w:rsidR="00470855">
        <w:rPr>
          <w:sz w:val="20"/>
          <w:szCs w:val="20"/>
        </w:rPr>
        <w:t>2.000.000</w:t>
      </w:r>
      <w:r w:rsidR="00A94F7C" w:rsidRPr="000C62A9">
        <w:rPr>
          <w:sz w:val="20"/>
          <w:szCs w:val="20"/>
        </w:rPr>
        <w:t xml:space="preserve">,00 zł. </w:t>
      </w:r>
    </w:p>
    <w:p w14:paraId="737A7C88" w14:textId="77777777" w:rsidR="00583130" w:rsidRPr="000C62A9" w:rsidRDefault="00583130">
      <w:pPr>
        <w:autoSpaceDE w:val="0"/>
        <w:spacing w:after="0" w:line="276" w:lineRule="auto"/>
        <w:ind w:right="102"/>
        <w:jc w:val="both"/>
        <w:rPr>
          <w:rFonts w:cs="Calibri"/>
          <w:b/>
          <w:bCs/>
          <w:kern w:val="0"/>
          <w:sz w:val="20"/>
          <w:szCs w:val="20"/>
        </w:rPr>
      </w:pPr>
    </w:p>
    <w:p w14:paraId="61690245" w14:textId="77777777" w:rsidR="00583130" w:rsidRPr="000C62A9" w:rsidRDefault="00A94F7C">
      <w:pPr>
        <w:autoSpaceDE w:val="0"/>
        <w:spacing w:after="0" w:line="276" w:lineRule="auto"/>
        <w:ind w:right="102"/>
        <w:jc w:val="both"/>
        <w:rPr>
          <w:rFonts w:cs="Calibri"/>
          <w:sz w:val="20"/>
          <w:szCs w:val="20"/>
        </w:rPr>
      </w:pPr>
      <w:r w:rsidRPr="000C62A9">
        <w:rPr>
          <w:rFonts w:cs="Calibri"/>
          <w:b/>
          <w:bCs/>
          <w:kern w:val="0"/>
          <w:sz w:val="20"/>
          <w:szCs w:val="20"/>
        </w:rPr>
        <w:t xml:space="preserve">IV. INFORMACJA O POZOSTAŁYCH KLUCZOWYCH KWOTACH I WSKAŹNIKACH UJĘTYCH W ZAŁĄCZNIKU NR 1 DO PROJEKTU WIELOLETNIEJ PROGNOZY FINANSOWEJ I SPOSOBIE ICH WYLICZANIA </w:t>
      </w:r>
    </w:p>
    <w:p w14:paraId="14890A87" w14:textId="77777777" w:rsidR="00583130" w:rsidRPr="00470855" w:rsidRDefault="00A94F7C" w:rsidP="00470855">
      <w:pPr>
        <w:tabs>
          <w:tab w:val="left" w:pos="11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470855">
        <w:rPr>
          <w:rFonts w:cs="Calibri"/>
          <w:b/>
          <w:bCs/>
          <w:kern w:val="0"/>
          <w:sz w:val="20"/>
          <w:szCs w:val="20"/>
          <w:shd w:val="clear" w:color="auto" w:fill="FFFFFF"/>
        </w:rPr>
        <w:lastRenderedPageBreak/>
        <w:t xml:space="preserve">PRZYCHODY BUDŻETU </w:t>
      </w:r>
    </w:p>
    <w:p w14:paraId="5EC5E467" w14:textId="3A55AA82" w:rsidR="00583130" w:rsidRPr="005F332B" w:rsidRDefault="00A94F7C" w:rsidP="005F332B">
      <w:pPr>
        <w:spacing w:after="0"/>
        <w:jc w:val="both"/>
        <w:rPr>
          <w:rFonts w:cs="Calibri"/>
          <w:bCs/>
          <w:iCs/>
        </w:rPr>
      </w:pPr>
      <w:r w:rsidRPr="005F332B">
        <w:rPr>
          <w:rFonts w:cs="Calibri"/>
          <w:sz w:val="20"/>
          <w:szCs w:val="20"/>
        </w:rPr>
        <w:t xml:space="preserve">W projekcie budżetu Gminy Rakoniewice na </w:t>
      </w:r>
      <w:r w:rsidR="00470855" w:rsidRPr="005F332B">
        <w:rPr>
          <w:rFonts w:cs="Calibri"/>
          <w:sz w:val="20"/>
          <w:szCs w:val="20"/>
        </w:rPr>
        <w:t xml:space="preserve">rok </w:t>
      </w:r>
      <w:r w:rsidRPr="005F332B">
        <w:rPr>
          <w:rFonts w:cs="Calibri"/>
          <w:sz w:val="20"/>
          <w:szCs w:val="20"/>
        </w:rPr>
        <w:t>202</w:t>
      </w:r>
      <w:r w:rsidR="00470855" w:rsidRPr="005F332B">
        <w:rPr>
          <w:rFonts w:cs="Calibri"/>
          <w:sz w:val="20"/>
          <w:szCs w:val="20"/>
        </w:rPr>
        <w:t>6</w:t>
      </w:r>
      <w:r w:rsidRPr="005F332B">
        <w:rPr>
          <w:rFonts w:cs="Calibri"/>
          <w:sz w:val="20"/>
          <w:szCs w:val="20"/>
        </w:rPr>
        <w:t xml:space="preserve"> </w:t>
      </w:r>
      <w:r w:rsidR="00470855" w:rsidRPr="005F332B">
        <w:rPr>
          <w:rFonts w:cs="Calibri"/>
          <w:sz w:val="20"/>
          <w:szCs w:val="20"/>
        </w:rPr>
        <w:t xml:space="preserve">wskazano pokrycie planowanego deficytu budżetowego w kwocie </w:t>
      </w:r>
      <w:r w:rsidR="00470855" w:rsidRPr="005F332B">
        <w:rPr>
          <w:rFonts w:cs="Calibri"/>
          <w:kern w:val="0"/>
          <w:sz w:val="20"/>
          <w:szCs w:val="20"/>
        </w:rPr>
        <w:t>221.993,88 zł</w:t>
      </w:r>
      <w:r w:rsidR="00470855" w:rsidRPr="005F332B">
        <w:rPr>
          <w:rFonts w:cs="Calibri"/>
          <w:sz w:val="20"/>
          <w:szCs w:val="20"/>
        </w:rPr>
        <w:t xml:space="preserve"> </w:t>
      </w:r>
      <w:r w:rsidR="005F332B" w:rsidRPr="005F332B">
        <w:rPr>
          <w:rFonts w:cs="Calibri"/>
          <w:sz w:val="20"/>
          <w:szCs w:val="20"/>
        </w:rPr>
        <w:t>p</w:t>
      </w:r>
      <w:r w:rsidR="005F332B" w:rsidRPr="005F332B">
        <w:rPr>
          <w:rFonts w:cs="Calibri"/>
          <w:bCs/>
          <w:sz w:val="20"/>
          <w:szCs w:val="20"/>
        </w:rPr>
        <w:t>rzychodami jednostek samorządu terytorialnego z wynikających z rozliczenia środków określonych w art. 5 ust. 1 pkt 2 ustawy i dotacji na realizację programu, projektu lub zadania finansowanego z udziałem tych środków</w:t>
      </w:r>
      <w:r w:rsidR="005F332B" w:rsidRPr="005F332B">
        <w:rPr>
          <w:rFonts w:cs="Calibri"/>
          <w:sz w:val="20"/>
          <w:szCs w:val="20"/>
        </w:rPr>
        <w:t xml:space="preserve"> (dotyczy realizacji zadania </w:t>
      </w:r>
      <w:r w:rsidR="005F332B" w:rsidRPr="005F332B">
        <w:rPr>
          <w:rFonts w:cs="Calibri"/>
          <w:bCs/>
          <w:iCs/>
          <w:sz w:val="20"/>
          <w:szCs w:val="20"/>
        </w:rPr>
        <w:t xml:space="preserve">„Dostępny Urząd Gminy Rakoniewice”, </w:t>
      </w:r>
      <w:r w:rsidR="005F332B" w:rsidRPr="005F332B">
        <w:rPr>
          <w:rFonts w:cs="Calibri"/>
          <w:sz w:val="20"/>
          <w:szCs w:val="20"/>
        </w:rPr>
        <w:t xml:space="preserve"> gdzie realizacja dochodów nastąpiła w roku 2025, natomiast część wydatków zaplanowano do realizacji w roku 2026).</w:t>
      </w:r>
      <w:r w:rsidR="005F332B" w:rsidRPr="005F332B">
        <w:rPr>
          <w:rFonts w:cs="Calibri"/>
          <w:bCs/>
          <w:iCs/>
        </w:rPr>
        <w:t xml:space="preserve"> </w:t>
      </w:r>
    </w:p>
    <w:p w14:paraId="48DE1C82" w14:textId="77777777" w:rsidR="00583130" w:rsidRPr="005F332B" w:rsidRDefault="00A94F7C" w:rsidP="00470855">
      <w:pPr>
        <w:tabs>
          <w:tab w:val="left" w:pos="11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5F332B">
        <w:rPr>
          <w:rFonts w:cs="Calibri"/>
          <w:b/>
          <w:bCs/>
          <w:kern w:val="0"/>
          <w:sz w:val="20"/>
          <w:szCs w:val="20"/>
          <w:shd w:val="clear" w:color="auto" w:fill="FFFFFF"/>
        </w:rPr>
        <w:t xml:space="preserve">ROZCHODY BUDŻETU </w:t>
      </w:r>
    </w:p>
    <w:p w14:paraId="22870DE7" w14:textId="7BE80E6A" w:rsidR="00753087" w:rsidRPr="005F332B" w:rsidRDefault="00470855">
      <w:pPr>
        <w:tabs>
          <w:tab w:val="left" w:pos="10"/>
        </w:tabs>
        <w:autoSpaceDE w:val="0"/>
        <w:spacing w:after="0" w:line="276" w:lineRule="auto"/>
        <w:ind w:left="10" w:right="45" w:hanging="10"/>
        <w:jc w:val="both"/>
        <w:rPr>
          <w:rFonts w:cs="Calibri"/>
          <w:kern w:val="0"/>
          <w:sz w:val="20"/>
          <w:szCs w:val="20"/>
        </w:rPr>
      </w:pPr>
      <w:r w:rsidRPr="005F332B">
        <w:rPr>
          <w:rFonts w:cs="Calibri"/>
          <w:kern w:val="0"/>
          <w:sz w:val="20"/>
          <w:szCs w:val="20"/>
        </w:rPr>
        <w:t>Ze względu na brak zadłużeni</w:t>
      </w:r>
      <w:r w:rsidR="00753087" w:rsidRPr="005F332B">
        <w:rPr>
          <w:rFonts w:cs="Calibri"/>
          <w:kern w:val="0"/>
          <w:sz w:val="20"/>
          <w:szCs w:val="20"/>
        </w:rPr>
        <w:t>a Gmina Rakoniewice nie wykazuje w wieloletniej prognozie finansowej spłat zobowiązań.</w:t>
      </w:r>
    </w:p>
    <w:p w14:paraId="7BA7D8FE" w14:textId="77777777" w:rsidR="00583130" w:rsidRPr="005F332B" w:rsidRDefault="00A94F7C" w:rsidP="00753087">
      <w:pPr>
        <w:tabs>
          <w:tab w:val="left" w:pos="11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5F332B">
        <w:rPr>
          <w:rFonts w:cs="Calibri"/>
          <w:b/>
          <w:bCs/>
          <w:kern w:val="0"/>
          <w:sz w:val="20"/>
          <w:szCs w:val="20"/>
          <w:shd w:val="clear" w:color="auto" w:fill="FFFFFF"/>
        </w:rPr>
        <w:t xml:space="preserve">WYNIK BUDŻETU </w:t>
      </w:r>
    </w:p>
    <w:p w14:paraId="713C8267" w14:textId="07C2383C" w:rsidR="00583130" w:rsidRPr="005F332B" w:rsidRDefault="00A94F7C">
      <w:pPr>
        <w:tabs>
          <w:tab w:val="left" w:pos="10"/>
          <w:tab w:val="left" w:pos="360"/>
        </w:tabs>
        <w:autoSpaceDE w:val="0"/>
        <w:spacing w:after="0" w:line="276" w:lineRule="auto"/>
        <w:ind w:left="10" w:right="45" w:hanging="10"/>
        <w:jc w:val="both"/>
        <w:rPr>
          <w:rFonts w:cs="Calibri"/>
          <w:kern w:val="0"/>
          <w:sz w:val="20"/>
          <w:szCs w:val="20"/>
        </w:rPr>
      </w:pPr>
      <w:r w:rsidRPr="005F332B">
        <w:rPr>
          <w:rFonts w:cs="Calibri"/>
          <w:kern w:val="0"/>
          <w:sz w:val="20"/>
          <w:szCs w:val="20"/>
        </w:rPr>
        <w:t>Wynik budżetu w prognozowanym okresie jest ściśle powiązany z przyjętymi założeniami do prognozy dochodów i wydatków. W 202</w:t>
      </w:r>
      <w:r w:rsidR="00753087" w:rsidRPr="005F332B">
        <w:rPr>
          <w:rFonts w:cs="Calibri"/>
          <w:kern w:val="0"/>
          <w:sz w:val="20"/>
          <w:szCs w:val="20"/>
        </w:rPr>
        <w:t>6</w:t>
      </w:r>
      <w:r w:rsidRPr="005F332B">
        <w:rPr>
          <w:rFonts w:cs="Calibri"/>
          <w:kern w:val="0"/>
          <w:sz w:val="20"/>
          <w:szCs w:val="20"/>
        </w:rPr>
        <w:t xml:space="preserve"> roku przewiduje się deficyt, w wysokości </w:t>
      </w:r>
      <w:r w:rsidR="00753087" w:rsidRPr="005F332B">
        <w:rPr>
          <w:rFonts w:cs="Calibri"/>
          <w:kern w:val="0"/>
          <w:sz w:val="20"/>
          <w:szCs w:val="20"/>
        </w:rPr>
        <w:t>221.993,88 zł</w:t>
      </w:r>
      <w:r w:rsidR="00753087" w:rsidRPr="005F332B">
        <w:rPr>
          <w:rFonts w:cs="Calibri"/>
          <w:sz w:val="20"/>
          <w:szCs w:val="20"/>
        </w:rPr>
        <w:t xml:space="preserve">, który zostanie pokryty przychodami </w:t>
      </w:r>
      <w:r w:rsidR="005F332B" w:rsidRPr="005F332B">
        <w:rPr>
          <w:rFonts w:cs="Calibri"/>
          <w:bCs/>
          <w:sz w:val="20"/>
          <w:szCs w:val="20"/>
        </w:rPr>
        <w:t>jednostek samorządu terytorialnego z wynikającymi z rozliczenia środków określonych w art. 5 ust. 1 pkt 2 ustawy i dotacji na realizację programu, projektu lub zadania finansowanego z udziałem tych środków</w:t>
      </w:r>
      <w:r w:rsidR="00753087" w:rsidRPr="005F332B">
        <w:rPr>
          <w:rFonts w:cs="Calibri"/>
          <w:sz w:val="20"/>
          <w:szCs w:val="20"/>
        </w:rPr>
        <w:t>.</w:t>
      </w:r>
    </w:p>
    <w:p w14:paraId="2C526325" w14:textId="4CCF5D90" w:rsidR="00753087" w:rsidRPr="005F332B" w:rsidRDefault="00753087" w:rsidP="00753087">
      <w:pPr>
        <w:tabs>
          <w:tab w:val="left" w:pos="10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5F332B">
        <w:rPr>
          <w:rFonts w:cs="Calibri"/>
          <w:b/>
          <w:bCs/>
          <w:kern w:val="0"/>
          <w:sz w:val="20"/>
          <w:szCs w:val="20"/>
          <w:shd w:val="clear" w:color="auto" w:fill="FFFFFF"/>
        </w:rPr>
        <w:t>Relacja z art. 242 ustawy o finansach publicznych</w:t>
      </w:r>
    </w:p>
    <w:p w14:paraId="3963AC9E" w14:textId="78714433" w:rsidR="00583130" w:rsidRPr="005F332B" w:rsidRDefault="00A94F7C">
      <w:pPr>
        <w:tabs>
          <w:tab w:val="left" w:pos="10"/>
        </w:tabs>
        <w:autoSpaceDE w:val="0"/>
        <w:spacing w:after="0" w:line="276" w:lineRule="auto"/>
        <w:ind w:left="10" w:right="45" w:hanging="10"/>
        <w:jc w:val="both"/>
        <w:rPr>
          <w:rFonts w:cs="Calibri"/>
          <w:kern w:val="0"/>
          <w:sz w:val="20"/>
          <w:szCs w:val="20"/>
        </w:rPr>
      </w:pPr>
      <w:r w:rsidRPr="005F332B">
        <w:rPr>
          <w:rFonts w:cs="Calibri"/>
          <w:kern w:val="0"/>
          <w:sz w:val="20"/>
          <w:szCs w:val="20"/>
        </w:rPr>
        <w:t>Wynik z działalności operacyjnej (bieżącej) jest bardzo istotny na skutek zapisu art. 242 ustawy o finansach publicznych, wskazujący, iż organ stanowiący nie może uchwalić budżetu, w którym wydatki bieżące są wyższe od dochodów bieżących powiększonych o nadwyżkę z lat ubiegłych i wolne środki. Zgodnie z prognozą w całym badanym okresie nie ma zagrożenia naruszenia powyższego zapisu.</w:t>
      </w:r>
    </w:p>
    <w:p w14:paraId="3FE20556" w14:textId="77777777" w:rsidR="00583130" w:rsidRPr="00753087" w:rsidRDefault="00A94F7C" w:rsidP="00753087">
      <w:pPr>
        <w:tabs>
          <w:tab w:val="left" w:pos="11"/>
          <w:tab w:val="left" w:pos="360"/>
        </w:tabs>
        <w:autoSpaceDE w:val="0"/>
        <w:spacing w:before="120" w:after="0" w:line="276" w:lineRule="auto"/>
        <w:ind w:left="11" w:right="45" w:hanging="11"/>
        <w:jc w:val="both"/>
        <w:rPr>
          <w:rFonts w:cs="Calibri"/>
          <w:b/>
          <w:bCs/>
          <w:kern w:val="0"/>
          <w:sz w:val="20"/>
          <w:szCs w:val="20"/>
          <w:shd w:val="clear" w:color="auto" w:fill="FFFFFF"/>
        </w:rPr>
      </w:pPr>
      <w:r w:rsidRPr="00753087">
        <w:rPr>
          <w:rFonts w:cs="Calibri"/>
          <w:b/>
          <w:bCs/>
          <w:kern w:val="0"/>
          <w:sz w:val="20"/>
          <w:szCs w:val="20"/>
          <w:shd w:val="clear" w:color="auto" w:fill="FFFFFF"/>
        </w:rPr>
        <w:t xml:space="preserve">Relacja z art. 243 ustawy o finansach publicznych </w:t>
      </w:r>
    </w:p>
    <w:p w14:paraId="5CF38936" w14:textId="77777777" w:rsidR="00583130" w:rsidRPr="00753087" w:rsidRDefault="00A94F7C" w:rsidP="00753087">
      <w:pPr>
        <w:tabs>
          <w:tab w:val="left" w:pos="10"/>
        </w:tabs>
        <w:autoSpaceDE w:val="0"/>
        <w:spacing w:after="120" w:line="276" w:lineRule="auto"/>
        <w:ind w:left="11" w:right="45" w:hanging="11"/>
        <w:jc w:val="both"/>
        <w:rPr>
          <w:rFonts w:cs="Calibri"/>
          <w:kern w:val="0"/>
          <w:sz w:val="20"/>
          <w:szCs w:val="20"/>
        </w:rPr>
      </w:pPr>
      <w:r w:rsidRPr="00753087">
        <w:rPr>
          <w:rFonts w:cs="Calibri"/>
          <w:kern w:val="0"/>
          <w:sz w:val="20"/>
          <w:szCs w:val="20"/>
        </w:rPr>
        <w:t>Informację na temat kształtowania się relacji z art. 243 ustawy o finansach publicznych w okresie prognozy Gminy Rakoniewice przedstawiono w tabeli poniżej.</w:t>
      </w:r>
    </w:p>
    <w:tbl>
      <w:tblPr>
        <w:tblW w:w="9072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6"/>
        <w:gridCol w:w="1645"/>
        <w:gridCol w:w="1645"/>
        <w:gridCol w:w="1645"/>
        <w:gridCol w:w="1645"/>
        <w:gridCol w:w="1646"/>
      </w:tblGrid>
      <w:tr w:rsidR="00583130" w:rsidRPr="00EB63A8" w14:paraId="23CF7ED9" w14:textId="77777777" w:rsidTr="00753087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BBEB979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Rok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EDE0CD5" w14:textId="4B4B12A4" w:rsidR="00583130" w:rsidRPr="00EB63A8" w:rsidRDefault="00A94F7C" w:rsidP="00753087">
            <w:pPr>
              <w:suppressAutoHyphens w:val="0"/>
              <w:autoSpaceDE w:val="0"/>
              <w:spacing w:after="0" w:line="276" w:lineRule="auto"/>
              <w:jc w:val="center"/>
              <w:textAlignment w:val="auto"/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 xml:space="preserve">Obsługa zadłużenia (fakt. i plan. po </w:t>
            </w:r>
            <w:r w:rsidR="00753087"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włączeniach</w:t>
            </w: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79F11DC" w14:textId="77777777" w:rsidR="00583130" w:rsidRPr="00EB63A8" w:rsidRDefault="00A94F7C" w:rsidP="00753087">
            <w:pPr>
              <w:suppressAutoHyphens w:val="0"/>
              <w:autoSpaceDE w:val="0"/>
              <w:spacing w:after="0" w:line="276" w:lineRule="auto"/>
              <w:jc w:val="center"/>
              <w:textAlignment w:val="auto"/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Maksymalna obsługa zadłużenia (wg planu po III kwartale)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C7CED87" w14:textId="77777777" w:rsidR="00583130" w:rsidRPr="00EB63A8" w:rsidRDefault="00A94F7C" w:rsidP="00753087">
            <w:pPr>
              <w:suppressAutoHyphens w:val="0"/>
              <w:autoSpaceDE w:val="0"/>
              <w:spacing w:after="0" w:line="276" w:lineRule="auto"/>
              <w:jc w:val="center"/>
              <w:textAlignment w:val="auto"/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Zachowanie relacji z art. 243 (w oparciu o plan po III kwartale)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FB12E41" w14:textId="77777777" w:rsidR="00583130" w:rsidRPr="00EB63A8" w:rsidRDefault="00A94F7C" w:rsidP="00753087">
            <w:pPr>
              <w:suppressAutoHyphens w:val="0"/>
              <w:autoSpaceDE w:val="0"/>
              <w:spacing w:after="0" w:line="276" w:lineRule="auto"/>
              <w:jc w:val="center"/>
              <w:textAlignment w:val="auto"/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Maksymalna obsługa zadłużenia (wg przewidywanego wykonania)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5" w:color="auto" w:fill="auto"/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B486820" w14:textId="77777777" w:rsidR="00583130" w:rsidRPr="00EB63A8" w:rsidRDefault="00A94F7C" w:rsidP="00753087">
            <w:pPr>
              <w:suppressAutoHyphens w:val="0"/>
              <w:autoSpaceDE w:val="0"/>
              <w:spacing w:after="0" w:line="276" w:lineRule="auto"/>
              <w:jc w:val="center"/>
              <w:textAlignment w:val="auto"/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b/>
                <w:kern w:val="0"/>
                <w:sz w:val="18"/>
                <w:szCs w:val="18"/>
                <w:lang w:eastAsia="pl-PL"/>
              </w:rPr>
              <w:t>Zachowanie relacji z art. 243 (w oparciu o przewidywane wykonanie)</w:t>
            </w:r>
          </w:p>
        </w:tc>
      </w:tr>
      <w:tr w:rsidR="00583130" w:rsidRPr="00EB63A8" w14:paraId="122CFEC3" w14:textId="77777777" w:rsidTr="0075308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E79F248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2026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750A3E0" w14:textId="01980715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0,35%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BAB9B8C" w14:textId="617BC697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18,61%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717B1529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9E7B4CB" w14:textId="6C97D1F0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19,07%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90F7CA0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</w:tr>
      <w:tr w:rsidR="00583130" w:rsidRPr="00EB63A8" w14:paraId="3D666510" w14:textId="77777777" w:rsidTr="0075308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336433F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2027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3BEC1DF" w14:textId="3BB5A264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82056C3" w14:textId="7753360E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16,36%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4BAD4D02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2701B38" w14:textId="6644A166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16,82%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1D116DA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</w:tr>
      <w:tr w:rsidR="00583130" w:rsidRPr="00EB63A8" w14:paraId="32CA82E7" w14:textId="77777777" w:rsidTr="0075308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C3FF5AD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2028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CC09FAC" w14:textId="437CABA0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BA81AB" w14:textId="02DB5FA1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14,24%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20D6472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36D355C3" w14:textId="6C5E75DE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14,70%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48DE657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</w:tr>
      <w:tr w:rsidR="00583130" w:rsidRPr="000C62A9" w14:paraId="49D20CD7" w14:textId="77777777" w:rsidTr="0075308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1E0CB5F5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2029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8AD29E7" w14:textId="4FE885FC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0,00%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562D8212" w14:textId="29C39FBE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11,47%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2AE3CFBF" w14:textId="77777777" w:rsidR="00583130" w:rsidRPr="00EB63A8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00A598C0" w14:textId="68DCA793" w:rsidR="00583130" w:rsidRPr="00EB63A8" w:rsidRDefault="00753087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11,93%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9" w:type="dxa"/>
              <w:left w:w="68" w:type="dxa"/>
              <w:bottom w:w="19" w:type="dxa"/>
              <w:right w:w="68" w:type="dxa"/>
            </w:tcMar>
            <w:vAlign w:val="center"/>
          </w:tcPr>
          <w:p w14:paraId="6BE1A05D" w14:textId="77777777" w:rsidR="00583130" w:rsidRPr="00753087" w:rsidRDefault="00A94F7C">
            <w:pPr>
              <w:suppressAutoHyphens w:val="0"/>
              <w:autoSpaceDE w:val="0"/>
              <w:spacing w:after="0" w:line="276" w:lineRule="auto"/>
              <w:jc w:val="both"/>
              <w:textAlignment w:val="auto"/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</w:pPr>
            <w:r w:rsidRPr="00EB63A8">
              <w:rPr>
                <w:rFonts w:eastAsia="Times New Roman" w:cs="Calibri"/>
                <w:kern w:val="0"/>
                <w:sz w:val="18"/>
                <w:szCs w:val="18"/>
                <w:lang w:eastAsia="pl-PL"/>
              </w:rPr>
              <w:t>TAK</w:t>
            </w:r>
          </w:p>
        </w:tc>
      </w:tr>
    </w:tbl>
    <w:p w14:paraId="1A437FA1" w14:textId="77777777" w:rsidR="00583130" w:rsidRPr="00753087" w:rsidRDefault="00A94F7C">
      <w:pPr>
        <w:suppressAutoHyphens w:val="0"/>
        <w:autoSpaceDE w:val="0"/>
        <w:spacing w:after="0" w:line="276" w:lineRule="auto"/>
        <w:contextualSpacing/>
        <w:jc w:val="both"/>
        <w:textAlignment w:val="auto"/>
        <w:rPr>
          <w:rFonts w:eastAsia="Times New Roman" w:cs="Calibri"/>
          <w:i/>
          <w:iCs/>
          <w:kern w:val="0"/>
          <w:sz w:val="18"/>
          <w:szCs w:val="18"/>
          <w:lang w:eastAsia="pl-PL"/>
        </w:rPr>
      </w:pPr>
      <w:r w:rsidRPr="00753087">
        <w:rPr>
          <w:rFonts w:eastAsia="Times New Roman" w:cs="Calibri"/>
          <w:i/>
          <w:iCs/>
          <w:kern w:val="0"/>
          <w:sz w:val="18"/>
          <w:szCs w:val="18"/>
          <w:lang w:eastAsia="pl-PL"/>
        </w:rPr>
        <w:t>Źródło: Opracowanie własne.</w:t>
      </w:r>
    </w:p>
    <w:p w14:paraId="2A841011" w14:textId="0654BF0D" w:rsidR="00583130" w:rsidRPr="000C62A9" w:rsidRDefault="00A94F7C" w:rsidP="00753087">
      <w:pPr>
        <w:suppressAutoHyphens w:val="0"/>
        <w:autoSpaceDE w:val="0"/>
        <w:spacing w:before="120" w:after="0" w:line="276" w:lineRule="auto"/>
        <w:jc w:val="both"/>
        <w:textAlignment w:val="auto"/>
        <w:rPr>
          <w:rFonts w:eastAsia="Times New Roman" w:cs="Calibri"/>
          <w:kern w:val="0"/>
          <w:sz w:val="20"/>
          <w:szCs w:val="20"/>
          <w:lang w:eastAsia="pl-PL"/>
        </w:rPr>
      </w:pPr>
      <w:r w:rsidRPr="000C62A9">
        <w:rPr>
          <w:rFonts w:eastAsia="Times New Roman" w:cs="Calibri"/>
          <w:kern w:val="0"/>
          <w:sz w:val="20"/>
          <w:szCs w:val="20"/>
          <w:lang w:eastAsia="pl-PL"/>
        </w:rPr>
        <w:t>Dane w tabeli powyżej wskazują, że w całym okresie prognozy Gmina Rakoniewice spełnia relację, o której mowa w art. 243 ust. 1 ustawy o finansach publicznych. Spełnienie dotyczy zarówno relacji obliczonej na podstawie planu na dzień 30.09.202</w:t>
      </w:r>
      <w:r w:rsidR="00753087">
        <w:rPr>
          <w:rFonts w:eastAsia="Times New Roman" w:cs="Calibri"/>
          <w:kern w:val="0"/>
          <w:sz w:val="20"/>
          <w:szCs w:val="20"/>
          <w:lang w:eastAsia="pl-PL"/>
        </w:rPr>
        <w:t>5</w:t>
      </w:r>
      <w:r w:rsidRPr="000C62A9">
        <w:rPr>
          <w:rFonts w:eastAsia="Times New Roman" w:cs="Calibri"/>
          <w:kern w:val="0"/>
          <w:sz w:val="20"/>
          <w:szCs w:val="20"/>
          <w:lang w:eastAsia="pl-PL"/>
        </w:rPr>
        <w:t xml:space="preserve"> r. jak i w oparciu o kolumnę „202</w:t>
      </w:r>
      <w:r w:rsidR="00753087">
        <w:rPr>
          <w:rFonts w:eastAsia="Times New Roman" w:cs="Calibri"/>
          <w:kern w:val="0"/>
          <w:sz w:val="20"/>
          <w:szCs w:val="20"/>
          <w:lang w:eastAsia="pl-PL"/>
        </w:rPr>
        <w:t>5</w:t>
      </w:r>
      <w:r w:rsidR="005F332B">
        <w:rPr>
          <w:rFonts w:eastAsia="Times New Roman" w:cs="Calibri"/>
          <w:kern w:val="0"/>
          <w:sz w:val="20"/>
          <w:szCs w:val="20"/>
          <w:lang w:eastAsia="pl-PL"/>
        </w:rPr>
        <w:t xml:space="preserve"> </w:t>
      </w:r>
      <w:r w:rsidRPr="000C62A9">
        <w:rPr>
          <w:rFonts w:eastAsia="Times New Roman" w:cs="Calibri"/>
          <w:kern w:val="0"/>
          <w:sz w:val="20"/>
          <w:szCs w:val="20"/>
          <w:lang w:eastAsia="pl-PL"/>
        </w:rPr>
        <w:t>przewidywane wykonanie”.</w:t>
      </w:r>
    </w:p>
    <w:p w14:paraId="27692814" w14:textId="77777777" w:rsidR="00583130" w:rsidRPr="000C62A9" w:rsidRDefault="00A94F7C">
      <w:pPr>
        <w:widowControl w:val="0"/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  <w:r w:rsidRPr="000C62A9">
        <w:rPr>
          <w:rFonts w:cs="Calibri"/>
          <w:kern w:val="0"/>
          <w:sz w:val="20"/>
          <w:szCs w:val="20"/>
        </w:rPr>
        <w:t>Wartości wykazane w pozostałych pozycjach WPF, w tym informacje uzupełniające o wybranych kategoriach finansowych (kolumna od 10.1 do 10.11) stanowią informacje uzupełniające względem pozycji opisanych powyżej. Zostały przedstawione w WPF zgodnie z obowiązującym stanem faktycznym, na podstawie zawartych umów i porozumień.</w:t>
      </w:r>
    </w:p>
    <w:p w14:paraId="0833612F" w14:textId="77777777" w:rsidR="00583130" w:rsidRPr="000C62A9" w:rsidRDefault="00583130">
      <w:pPr>
        <w:widowControl w:val="0"/>
        <w:autoSpaceDE w:val="0"/>
        <w:spacing w:after="0" w:line="276" w:lineRule="auto"/>
        <w:jc w:val="both"/>
        <w:rPr>
          <w:rFonts w:cs="Calibri"/>
          <w:kern w:val="0"/>
          <w:sz w:val="20"/>
          <w:szCs w:val="20"/>
        </w:rPr>
      </w:pPr>
    </w:p>
    <w:p w14:paraId="3623FA5A" w14:textId="77777777" w:rsidR="00583130" w:rsidRPr="000C62A9" w:rsidRDefault="00583130">
      <w:pPr>
        <w:rPr>
          <w:rFonts w:cs="Calibri"/>
          <w:sz w:val="20"/>
          <w:szCs w:val="20"/>
        </w:rPr>
      </w:pPr>
    </w:p>
    <w:sectPr w:rsidR="00583130" w:rsidRPr="000C62A9" w:rsidSect="000C62A9">
      <w:footerReference w:type="default" r:id="rId10"/>
      <w:pgSz w:w="11900" w:h="16840"/>
      <w:pgMar w:top="993" w:right="1417" w:bottom="1134" w:left="1417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031C4" w14:textId="77777777" w:rsidR="001F75D3" w:rsidRDefault="001F75D3">
      <w:pPr>
        <w:spacing w:after="0"/>
      </w:pPr>
      <w:r>
        <w:separator/>
      </w:r>
    </w:p>
  </w:endnote>
  <w:endnote w:type="continuationSeparator" w:id="0">
    <w:p w14:paraId="6A6AF265" w14:textId="77777777" w:rsidR="001F75D3" w:rsidRDefault="001F75D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EBE91" w14:textId="77777777" w:rsidR="00182CE1" w:rsidRDefault="00A94F7C">
    <w:pPr>
      <w:pStyle w:val="Stopka"/>
      <w:jc w:val="right"/>
    </w:pPr>
    <w:r>
      <w:fldChar w:fldCharType="begin"/>
    </w:r>
    <w:r>
      <w:instrText xml:space="preserve"> PAGE \* ARABIC </w:instrText>
    </w:r>
    <w:r>
      <w:fldChar w:fldCharType="separate"/>
    </w:r>
    <w:r>
      <w:t>1</w:t>
    </w:r>
    <w:r>
      <w:fldChar w:fldCharType="end"/>
    </w:r>
  </w:p>
  <w:p w14:paraId="06D1C0A8" w14:textId="77777777" w:rsidR="00182CE1" w:rsidRDefault="00182CE1">
    <w:pPr>
      <w:tabs>
        <w:tab w:val="right" w:pos="9066"/>
      </w:tabs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CE055" w14:textId="77777777" w:rsidR="001F75D3" w:rsidRDefault="001F75D3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6B692B3C" w14:textId="77777777" w:rsidR="001F75D3" w:rsidRDefault="001F75D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4E55"/>
    <w:multiLevelType w:val="multilevel"/>
    <w:tmpl w:val="C0A27B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" w15:restartNumberingAfterBreak="0">
    <w:nsid w:val="056C37EA"/>
    <w:multiLevelType w:val="multilevel"/>
    <w:tmpl w:val="708E65F0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u w:val="singl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2" w15:restartNumberingAfterBreak="0">
    <w:nsid w:val="1C884DE3"/>
    <w:multiLevelType w:val="multilevel"/>
    <w:tmpl w:val="760AC94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3" w15:restartNumberingAfterBreak="0">
    <w:nsid w:val="214B01D8"/>
    <w:multiLevelType w:val="hybridMultilevel"/>
    <w:tmpl w:val="D348FDB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B44EA"/>
    <w:multiLevelType w:val="hybridMultilevel"/>
    <w:tmpl w:val="201E735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C77B49"/>
    <w:multiLevelType w:val="hybridMultilevel"/>
    <w:tmpl w:val="DCF2C35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BC41E3"/>
    <w:multiLevelType w:val="multilevel"/>
    <w:tmpl w:val="D9F8A176"/>
    <w:lvl w:ilvl="0">
      <w:numFmt w:val="bullet"/>
      <w:lvlText w:val=""/>
      <w:lvlJc w:val="left"/>
      <w:pPr>
        <w:ind w:left="94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66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38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10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2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54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6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8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707" w:hanging="360"/>
      </w:pPr>
      <w:rPr>
        <w:rFonts w:ascii="Wingdings" w:hAnsi="Wingdings"/>
      </w:rPr>
    </w:lvl>
  </w:abstractNum>
  <w:abstractNum w:abstractNumId="7" w15:restartNumberingAfterBreak="0">
    <w:nsid w:val="313F06F6"/>
    <w:multiLevelType w:val="multilevel"/>
    <w:tmpl w:val="66D8DA42"/>
    <w:lvl w:ilvl="0">
      <w:start w:val="1"/>
      <w:numFmt w:val="lowerLetter"/>
      <w:lvlText w:val="%1)"/>
      <w:lvlJc w:val="left"/>
      <w:pPr>
        <w:ind w:left="1288" w:hanging="360"/>
      </w:pPr>
    </w:lvl>
    <w:lvl w:ilvl="1">
      <w:start w:val="1"/>
      <w:numFmt w:val="lowerLetter"/>
      <w:lvlText w:val="."/>
      <w:lvlJc w:val="left"/>
      <w:pPr>
        <w:ind w:left="2008" w:hanging="360"/>
      </w:pPr>
    </w:lvl>
    <w:lvl w:ilvl="2">
      <w:start w:val="1"/>
      <w:numFmt w:val="lowerRoman"/>
      <w:lvlText w:val="."/>
      <w:lvlJc w:val="right"/>
      <w:pPr>
        <w:ind w:left="2728" w:hanging="180"/>
      </w:pPr>
    </w:lvl>
    <w:lvl w:ilvl="3">
      <w:start w:val="1"/>
      <w:numFmt w:val="decimal"/>
      <w:lvlText w:val="."/>
      <w:lvlJc w:val="left"/>
      <w:pPr>
        <w:ind w:left="3448" w:hanging="360"/>
      </w:pPr>
    </w:lvl>
    <w:lvl w:ilvl="4">
      <w:start w:val="1"/>
      <w:numFmt w:val="lowerLetter"/>
      <w:lvlText w:val="."/>
      <w:lvlJc w:val="left"/>
      <w:pPr>
        <w:ind w:left="4168" w:hanging="360"/>
      </w:pPr>
    </w:lvl>
    <w:lvl w:ilvl="5">
      <w:start w:val="1"/>
      <w:numFmt w:val="lowerRoman"/>
      <w:lvlText w:val="."/>
      <w:lvlJc w:val="right"/>
      <w:pPr>
        <w:ind w:left="4888" w:hanging="180"/>
      </w:pPr>
    </w:lvl>
    <w:lvl w:ilvl="6">
      <w:start w:val="1"/>
      <w:numFmt w:val="decimal"/>
      <w:lvlText w:val="."/>
      <w:lvlJc w:val="left"/>
      <w:pPr>
        <w:ind w:left="5608" w:hanging="360"/>
      </w:pPr>
    </w:lvl>
    <w:lvl w:ilvl="7">
      <w:start w:val="1"/>
      <w:numFmt w:val="lowerLetter"/>
      <w:lvlText w:val="."/>
      <w:lvlJc w:val="left"/>
      <w:pPr>
        <w:ind w:left="6328" w:hanging="360"/>
      </w:pPr>
    </w:lvl>
    <w:lvl w:ilvl="8">
      <w:start w:val="1"/>
      <w:numFmt w:val="lowerRoman"/>
      <w:lvlText w:val="."/>
      <w:lvlJc w:val="right"/>
      <w:pPr>
        <w:ind w:left="7048" w:hanging="180"/>
      </w:pPr>
    </w:lvl>
  </w:abstractNum>
  <w:abstractNum w:abstractNumId="8" w15:restartNumberingAfterBreak="0">
    <w:nsid w:val="420F0CAD"/>
    <w:multiLevelType w:val="hybridMultilevel"/>
    <w:tmpl w:val="5F50DF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64250B"/>
    <w:multiLevelType w:val="multilevel"/>
    <w:tmpl w:val="C4AEE5C4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10" w15:restartNumberingAfterBreak="0">
    <w:nsid w:val="49DB285D"/>
    <w:multiLevelType w:val="multilevel"/>
    <w:tmpl w:val="853CB99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1364" w:hanging="284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Times New Roman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Times New Roman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5AD61AE5"/>
    <w:multiLevelType w:val="multilevel"/>
    <w:tmpl w:val="F6F81EB8"/>
    <w:lvl w:ilvl="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/>
        <w:u w:val="single"/>
      </w:r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12" w15:restartNumberingAfterBreak="0">
    <w:nsid w:val="61E84D07"/>
    <w:multiLevelType w:val="hybridMultilevel"/>
    <w:tmpl w:val="8F424E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231FE0"/>
    <w:multiLevelType w:val="hybridMultilevel"/>
    <w:tmpl w:val="0A7A57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3134940">
    <w:abstractNumId w:val="2"/>
  </w:num>
  <w:num w:numId="2" w16cid:durableId="1804733286">
    <w:abstractNumId w:val="6"/>
  </w:num>
  <w:num w:numId="3" w16cid:durableId="100345231">
    <w:abstractNumId w:val="9"/>
  </w:num>
  <w:num w:numId="4" w16cid:durableId="2040427729">
    <w:abstractNumId w:val="10"/>
  </w:num>
  <w:num w:numId="5" w16cid:durableId="1529830950">
    <w:abstractNumId w:val="0"/>
  </w:num>
  <w:num w:numId="6" w16cid:durableId="1295675020">
    <w:abstractNumId w:val="7"/>
  </w:num>
  <w:num w:numId="7" w16cid:durableId="473791291">
    <w:abstractNumId w:val="1"/>
  </w:num>
  <w:num w:numId="8" w16cid:durableId="99837148">
    <w:abstractNumId w:val="3"/>
  </w:num>
  <w:num w:numId="9" w16cid:durableId="1209731048">
    <w:abstractNumId w:val="13"/>
  </w:num>
  <w:num w:numId="10" w16cid:durableId="385643935">
    <w:abstractNumId w:val="4"/>
  </w:num>
  <w:num w:numId="11" w16cid:durableId="117573949">
    <w:abstractNumId w:val="5"/>
  </w:num>
  <w:num w:numId="12" w16cid:durableId="1269124793">
    <w:abstractNumId w:val="12"/>
  </w:num>
  <w:num w:numId="13" w16cid:durableId="1046418330">
    <w:abstractNumId w:val="8"/>
  </w:num>
  <w:num w:numId="14" w16cid:durableId="20406194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130"/>
    <w:rsid w:val="00001F44"/>
    <w:rsid w:val="00073992"/>
    <w:rsid w:val="000C62A9"/>
    <w:rsid w:val="00144DEE"/>
    <w:rsid w:val="00182CE1"/>
    <w:rsid w:val="001F75D3"/>
    <w:rsid w:val="002610C7"/>
    <w:rsid w:val="00282363"/>
    <w:rsid w:val="0029679E"/>
    <w:rsid w:val="002D52AD"/>
    <w:rsid w:val="0031564A"/>
    <w:rsid w:val="003545A1"/>
    <w:rsid w:val="00470855"/>
    <w:rsid w:val="004F2F59"/>
    <w:rsid w:val="00583130"/>
    <w:rsid w:val="005E123E"/>
    <w:rsid w:val="005F332B"/>
    <w:rsid w:val="00614FB2"/>
    <w:rsid w:val="00651D91"/>
    <w:rsid w:val="00665917"/>
    <w:rsid w:val="00666CEC"/>
    <w:rsid w:val="006F4C3E"/>
    <w:rsid w:val="00753087"/>
    <w:rsid w:val="00760BCA"/>
    <w:rsid w:val="007C0C81"/>
    <w:rsid w:val="008132B3"/>
    <w:rsid w:val="00864939"/>
    <w:rsid w:val="008D13C5"/>
    <w:rsid w:val="009611BC"/>
    <w:rsid w:val="009C48FB"/>
    <w:rsid w:val="009D6A32"/>
    <w:rsid w:val="00A03723"/>
    <w:rsid w:val="00A2415B"/>
    <w:rsid w:val="00A26D1B"/>
    <w:rsid w:val="00A94F7C"/>
    <w:rsid w:val="00AE3B6C"/>
    <w:rsid w:val="00B223D3"/>
    <w:rsid w:val="00C85B0F"/>
    <w:rsid w:val="00CA122A"/>
    <w:rsid w:val="00CD0B82"/>
    <w:rsid w:val="00D27701"/>
    <w:rsid w:val="00D70E8A"/>
    <w:rsid w:val="00DA4DB2"/>
    <w:rsid w:val="00DB7FF0"/>
    <w:rsid w:val="00DC249E"/>
    <w:rsid w:val="00E175F6"/>
    <w:rsid w:val="00E97715"/>
    <w:rsid w:val="00EA51B2"/>
    <w:rsid w:val="00EB63A8"/>
    <w:rsid w:val="00F570FA"/>
    <w:rsid w:val="00FC1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EAC749"/>
  <w15:docId w15:val="{2B9F40AE-BE64-46AA-8E65-B7521B4A6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"/>
    <w:next w:val="Normalny"/>
    <w:uiPriority w:val="9"/>
    <w:qFormat/>
    <w:pPr>
      <w:keepNext/>
      <w:keepLines/>
      <w:widowControl/>
      <w:spacing w:after="40"/>
      <w:ind w:right="52"/>
      <w:jc w:val="center"/>
      <w:outlineLvl w:val="0"/>
    </w:pPr>
    <w:rPr>
      <w:rFonts w:ascii="Times New Roman" w:hAnsi="Times New Roman" w:cs="Times New Roman"/>
      <w:b/>
      <w:bCs/>
      <w:color w:val="000000"/>
      <w:sz w:val="28"/>
      <w:szCs w:val="28"/>
    </w:rPr>
  </w:style>
  <w:style w:type="paragraph" w:styleId="Nagwek2">
    <w:name w:val="heading 2"/>
    <w:basedOn w:val="Normal"/>
    <w:next w:val="Normalny"/>
    <w:uiPriority w:val="9"/>
    <w:semiHidden/>
    <w:unhideWhenUsed/>
    <w:qFormat/>
    <w:pPr>
      <w:keepNext/>
      <w:keepLines/>
      <w:widowControl/>
      <w:spacing w:after="15" w:line="264" w:lineRule="auto"/>
      <w:ind w:left="15" w:hanging="10"/>
      <w:jc w:val="both"/>
      <w:outlineLvl w:val="1"/>
    </w:pPr>
    <w:rPr>
      <w:rFonts w:ascii="Times New Roman" w:hAnsi="Times New Roman" w:cs="Times New Roman"/>
      <w:b/>
      <w:bCs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hAnsi="Times New Roman" w:cs="Times New Roman"/>
      <w:b/>
      <w:bCs/>
      <w:color w:val="000000"/>
      <w:kern w:val="0"/>
      <w:sz w:val="28"/>
      <w:szCs w:val="28"/>
    </w:rPr>
  </w:style>
  <w:style w:type="character" w:customStyle="1" w:styleId="Nagwek2Znak">
    <w:name w:val="Nagłówek 2 Znak"/>
    <w:basedOn w:val="Domylnaczcionkaakapitu"/>
    <w:rPr>
      <w:rFonts w:ascii="Times New Roman" w:hAnsi="Times New Roman" w:cs="Times New Roman"/>
      <w:b/>
      <w:bCs/>
      <w:color w:val="000000"/>
      <w:kern w:val="0"/>
      <w:sz w:val="24"/>
      <w:szCs w:val="24"/>
    </w:rPr>
  </w:style>
  <w:style w:type="paragraph" w:customStyle="1" w:styleId="Normal">
    <w:name w:val="[Normal]"/>
    <w:pPr>
      <w:widowControl w:val="0"/>
      <w:suppressAutoHyphens/>
      <w:autoSpaceDE w:val="0"/>
      <w:spacing w:after="0"/>
    </w:pPr>
    <w:rPr>
      <w:rFonts w:ascii="Arial" w:hAnsi="Arial" w:cs="Arial"/>
      <w:kern w:val="0"/>
      <w:sz w:val="24"/>
      <w:szCs w:val="24"/>
    </w:rPr>
  </w:style>
  <w:style w:type="paragraph" w:styleId="Stopka">
    <w:name w:val="footer"/>
    <w:basedOn w:val="Normalny"/>
    <w:pPr>
      <w:tabs>
        <w:tab w:val="center" w:pos="4680"/>
        <w:tab w:val="right" w:pos="9360"/>
      </w:tabs>
      <w:autoSpaceDE w:val="0"/>
      <w:spacing w:after="0"/>
    </w:pPr>
    <w:rPr>
      <w:rFonts w:cs="Calibri"/>
      <w:kern w:val="0"/>
    </w:rPr>
  </w:style>
  <w:style w:type="character" w:customStyle="1" w:styleId="StopkaZnak">
    <w:name w:val="Stopka Znak"/>
    <w:basedOn w:val="Domylnaczcionkaakapitu"/>
    <w:rPr>
      <w:rFonts w:ascii="Calibri" w:hAnsi="Calibri" w:cs="Calibri"/>
      <w:kern w:val="0"/>
    </w:rPr>
  </w:style>
  <w:style w:type="paragraph" w:styleId="Akapitzlist">
    <w:name w:val="List Paragraph"/>
    <w:basedOn w:val="Normalny"/>
    <w:pPr>
      <w:autoSpaceDE w:val="0"/>
      <w:spacing w:after="200" w:line="276" w:lineRule="auto"/>
      <w:ind w:left="720"/>
    </w:pPr>
    <w:rPr>
      <w:rFonts w:cs="Calibri"/>
      <w:kern w:val="0"/>
    </w:rPr>
  </w:style>
  <w:style w:type="paragraph" w:styleId="Tekstpodstawowy">
    <w:name w:val="Body Text"/>
    <w:basedOn w:val="Normalny"/>
    <w:pPr>
      <w:autoSpaceDE w:val="0"/>
      <w:spacing w:after="0"/>
      <w:jc w:val="both"/>
    </w:pPr>
    <w:rPr>
      <w:rFonts w:ascii="Arial" w:hAnsi="Arial" w:cs="Arial"/>
      <w:kern w:val="0"/>
      <w:sz w:val="28"/>
      <w:szCs w:val="28"/>
    </w:rPr>
  </w:style>
  <w:style w:type="character" w:customStyle="1" w:styleId="TekstpodstawowyZnak">
    <w:name w:val="Tekst podstawowy Znak"/>
    <w:basedOn w:val="Domylnaczcionkaakapitu"/>
    <w:rPr>
      <w:rFonts w:ascii="Arial" w:hAnsi="Arial" w:cs="Arial"/>
      <w:kern w:val="0"/>
      <w:sz w:val="28"/>
      <w:szCs w:val="28"/>
    </w:rPr>
  </w:style>
  <w:style w:type="paragraph" w:customStyle="1" w:styleId="WW-Tekstpodstawowy2">
    <w:name w:val="WW-Tekst podstawowy 2"/>
    <w:basedOn w:val="Normalny"/>
    <w:pPr>
      <w:autoSpaceDE w:val="0"/>
      <w:spacing w:after="0"/>
    </w:pPr>
    <w:rPr>
      <w:rFonts w:ascii="Arial" w:hAnsi="Arial" w:cs="Arial"/>
      <w:kern w:val="0"/>
      <w:sz w:val="28"/>
      <w:szCs w:val="28"/>
    </w:rPr>
  </w:style>
  <w:style w:type="paragraph" w:styleId="Tekstdymka">
    <w:name w:val="Balloon Text"/>
    <w:basedOn w:val="Normalny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C62A9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0C62A9"/>
  </w:style>
  <w:style w:type="paragraph" w:customStyle="1" w:styleId="ListParagraph">
    <w:name w:val="ListParagraph"/>
    <w:basedOn w:val="Normalny"/>
    <w:rsid w:val="002610C7"/>
    <w:pPr>
      <w:suppressAutoHyphens w:val="0"/>
      <w:autoSpaceDN/>
      <w:spacing w:line="276" w:lineRule="auto"/>
      <w:contextualSpacing/>
      <w:textAlignment w:val="auto"/>
    </w:pPr>
    <w:rPr>
      <w:rFonts w:ascii="Times New Roman" w:eastAsiaTheme="minorEastAsia" w:hAnsi="Times New Roman"/>
      <w:kern w:val="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7</Pages>
  <Words>3513</Words>
  <Characters>21083</Characters>
  <Application>Microsoft Office Word</Application>
  <DocSecurity>0</DocSecurity>
  <Lines>175</Lines>
  <Paragraphs>49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Łukasz Ślaga</dc:creator>
  <cp:lastModifiedBy>Gmina Rakoniewice</cp:lastModifiedBy>
  <cp:revision>9</cp:revision>
  <cp:lastPrinted>2024-11-13T13:58:00Z</cp:lastPrinted>
  <dcterms:created xsi:type="dcterms:W3CDTF">2025-11-10T06:31:00Z</dcterms:created>
  <dcterms:modified xsi:type="dcterms:W3CDTF">2025-11-13T13:48:00Z</dcterms:modified>
</cp:coreProperties>
</file>